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B57DA6" w:rsidRDefault="00254F78" w:rsidP="00774830">
      <w:pPr>
        <w:pStyle w:val="a3"/>
        <w:tabs>
          <w:tab w:val="left" w:pos="0"/>
        </w:tabs>
        <w:autoSpaceDE/>
        <w:autoSpaceDN/>
        <w:spacing w:after="0"/>
        <w:ind w:firstLine="567"/>
        <w:jc w:val="both"/>
        <w:rPr>
          <w:sz w:val="24"/>
          <w:szCs w:val="24"/>
        </w:rPr>
      </w:pPr>
      <w:r>
        <w:rPr>
          <w:sz w:val="24"/>
          <w:szCs w:val="24"/>
        </w:rPr>
        <w:t>2</w:t>
      </w:r>
      <w:r w:rsidR="00D66444">
        <w:rPr>
          <w:sz w:val="24"/>
          <w:szCs w:val="24"/>
        </w:rPr>
        <w:t>6</w:t>
      </w:r>
      <w:r w:rsidR="00AC0CD9" w:rsidRPr="00B57DA6">
        <w:rPr>
          <w:sz w:val="24"/>
          <w:szCs w:val="24"/>
        </w:rPr>
        <w:t>.1</w:t>
      </w:r>
      <w:r w:rsidR="00E91F69">
        <w:rPr>
          <w:sz w:val="24"/>
          <w:szCs w:val="24"/>
        </w:rPr>
        <w:t>1</w:t>
      </w:r>
      <w:r w:rsidR="00AC0CD9" w:rsidRPr="00B57DA6">
        <w:rPr>
          <w:sz w:val="24"/>
          <w:szCs w:val="24"/>
        </w:rPr>
        <w:t>.20</w:t>
      </w:r>
      <w:r w:rsidR="00E91F69">
        <w:rPr>
          <w:sz w:val="24"/>
          <w:szCs w:val="24"/>
        </w:rPr>
        <w:t>20</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9A5EB2">
        <w:rPr>
          <w:sz w:val="24"/>
          <w:szCs w:val="24"/>
        </w:rPr>
        <w:t>51</w:t>
      </w:r>
      <w:r w:rsidR="004C2EA3" w:rsidRPr="00B57DA6">
        <w:rPr>
          <w:sz w:val="24"/>
          <w:szCs w:val="24"/>
        </w:rPr>
        <w:t>/20</w:t>
      </w:r>
      <w:r w:rsidR="00E91F69">
        <w:rPr>
          <w:sz w:val="24"/>
          <w:szCs w:val="24"/>
        </w:rPr>
        <w:t>20</w:t>
      </w:r>
      <w:r w:rsidR="00053D62" w:rsidRPr="00B57DA6">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9A5EB2">
        <w:t>Знаменского</w:t>
      </w:r>
      <w:r w:rsidR="0000549E">
        <w:t xml:space="preserve"> </w:t>
      </w:r>
      <w:r w:rsidR="007965C5">
        <w:rPr>
          <w:bCs/>
        </w:rPr>
        <w:t xml:space="preserve">сельского поселения </w:t>
      </w:r>
      <w:r w:rsidR="00AC0CD9" w:rsidRPr="00774830">
        <w:t>«</w:t>
      </w:r>
      <w:r w:rsidR="00774830">
        <w:rPr>
          <w:bCs/>
        </w:rPr>
        <w:t xml:space="preserve">О бюджете </w:t>
      </w:r>
      <w:r w:rsidR="009A5EB2">
        <w:rPr>
          <w:bCs/>
        </w:rPr>
        <w:t>Знаменского</w:t>
      </w:r>
      <w:r w:rsidR="0000549E">
        <w:rPr>
          <w:bCs/>
        </w:rPr>
        <w:t xml:space="preserve"> </w:t>
      </w:r>
      <w:r w:rsidR="007965C5">
        <w:t>муниципального образования</w:t>
      </w:r>
    </w:p>
    <w:p w:rsidR="00AC0CD9" w:rsidRPr="00774830" w:rsidRDefault="00774830" w:rsidP="00A02078">
      <w:pPr>
        <w:tabs>
          <w:tab w:val="left" w:pos="8220"/>
        </w:tabs>
        <w:jc w:val="center"/>
        <w:rPr>
          <w:bCs/>
          <w:lang w:eastAsia="en-US"/>
        </w:rPr>
      </w:pPr>
      <w:r>
        <w:rPr>
          <w:bCs/>
        </w:rPr>
        <w:t xml:space="preserve">на </w:t>
      </w:r>
      <w:r w:rsidR="007965C5">
        <w:rPr>
          <w:bCs/>
        </w:rPr>
        <w:t>2021 год и плановый период 2022 и 2023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9579E">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9A5EB2">
        <w:t>Знаменского</w:t>
      </w:r>
      <w:r w:rsidR="0000549E">
        <w:t xml:space="preserve"> сельского поселения</w:t>
      </w:r>
      <w:r w:rsidR="00462578" w:rsidRPr="00A621A3">
        <w:t xml:space="preserve"> «</w:t>
      </w:r>
      <w:r w:rsidR="00774830">
        <w:rPr>
          <w:bCs/>
        </w:rPr>
        <w:t xml:space="preserve">О бюджете </w:t>
      </w:r>
      <w:r w:rsidR="009A5EB2">
        <w:rPr>
          <w:bCs/>
        </w:rPr>
        <w:t>Знаменского</w:t>
      </w:r>
      <w:r w:rsidR="0000549E">
        <w:rPr>
          <w:bCs/>
        </w:rPr>
        <w:t xml:space="preserve"> </w:t>
      </w:r>
      <w:r w:rsidR="007965C5">
        <w:t>муниципального образования</w:t>
      </w:r>
      <w:r w:rsidR="007965C5">
        <w:rPr>
          <w:bCs/>
        </w:rPr>
        <w:t xml:space="preserve"> </w:t>
      </w:r>
      <w:r w:rsidR="002828BA">
        <w:rPr>
          <w:bCs/>
        </w:rPr>
        <w:t xml:space="preserve">на </w:t>
      </w:r>
      <w:r w:rsidR="007965C5">
        <w:rPr>
          <w:bCs/>
        </w:rPr>
        <w:t>2021 год и плановый период 2022 и 2023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9A5EB2">
        <w:t>Знаменском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EA18F4">
        <w:t>3</w:t>
      </w:r>
      <w:r w:rsidR="00AC0CD9" w:rsidRPr="00A621A3">
        <w:t xml:space="preserve">, </w:t>
      </w:r>
      <w:r w:rsidR="00991363">
        <w:t>иными нормативно-правовыми актами</w:t>
      </w:r>
      <w:r w:rsidR="00AC0CD9" w:rsidRPr="00A621A3">
        <w:t>.</w:t>
      </w:r>
    </w:p>
    <w:p w:rsidR="00430F5B" w:rsidRPr="00B9579E" w:rsidRDefault="006F0F0D" w:rsidP="00B9579E">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16.11.2020г. (вхд. № </w:t>
      </w:r>
      <w:r w:rsidR="003E2CB7">
        <w:rPr>
          <w:sz w:val="24"/>
          <w:szCs w:val="24"/>
        </w:rPr>
        <w:t>49</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430F5B" w:rsidRPr="00B9579E">
        <w:rPr>
          <w:sz w:val="24"/>
          <w:szCs w:val="24"/>
        </w:rPr>
        <w:t>срок</w:t>
      </w:r>
      <w:r w:rsidR="00B9579E" w:rsidRPr="00B9579E">
        <w:rPr>
          <w:sz w:val="24"/>
          <w:szCs w:val="24"/>
        </w:rPr>
        <w:t>ов</w:t>
      </w:r>
      <w:r w:rsidR="00430F5B" w:rsidRPr="00B9579E">
        <w:rPr>
          <w:sz w:val="24"/>
          <w:szCs w:val="24"/>
        </w:rPr>
        <w:t xml:space="preserve"> (до 15 ноября текущего года в Думу поселения</w:t>
      </w:r>
      <w:r w:rsidR="00B9579E" w:rsidRPr="00B9579E">
        <w:rPr>
          <w:sz w:val="24"/>
          <w:szCs w:val="24"/>
        </w:rPr>
        <w:t>, в КСК района – в течени</w:t>
      </w:r>
      <w:r w:rsidR="00B9579E">
        <w:rPr>
          <w:sz w:val="24"/>
          <w:szCs w:val="24"/>
        </w:rPr>
        <w:t>е</w:t>
      </w:r>
      <w:r w:rsidR="00B9579E" w:rsidRPr="00B9579E">
        <w:rPr>
          <w:sz w:val="24"/>
          <w:szCs w:val="24"/>
        </w:rPr>
        <w:t xml:space="preserve"> суток со дня внесения проекта решения в Думу</w:t>
      </w:r>
      <w:r w:rsidR="00430F5B" w:rsidRPr="00B9579E">
        <w:rPr>
          <w:sz w:val="24"/>
          <w:szCs w:val="24"/>
        </w:rPr>
        <w:t>)</w:t>
      </w:r>
      <w:r w:rsidR="00B9579E" w:rsidRPr="00B9579E">
        <w:rPr>
          <w:sz w:val="24"/>
          <w:szCs w:val="24"/>
        </w:rPr>
        <w:t>,</w:t>
      </w:r>
      <w:r w:rsidR="00430F5B" w:rsidRPr="00B9579E">
        <w:rPr>
          <w:sz w:val="24"/>
          <w:szCs w:val="24"/>
        </w:rPr>
        <w:t xml:space="preserve"> </w:t>
      </w:r>
      <w:r w:rsidR="00BF0BE8" w:rsidRPr="00B9579E">
        <w:rPr>
          <w:sz w:val="24"/>
          <w:szCs w:val="24"/>
        </w:rPr>
        <w:t>установленн</w:t>
      </w:r>
      <w:r w:rsidR="00B9579E" w:rsidRPr="00B9579E">
        <w:rPr>
          <w:sz w:val="24"/>
          <w:szCs w:val="24"/>
        </w:rPr>
        <w:t>ых</w:t>
      </w:r>
      <w:r w:rsidR="005D1D37" w:rsidRPr="00B9579E">
        <w:rPr>
          <w:sz w:val="24"/>
          <w:szCs w:val="24"/>
        </w:rPr>
        <w:t xml:space="preserve"> </w:t>
      </w:r>
      <w:r w:rsidR="00803359" w:rsidRPr="00B9579E">
        <w:rPr>
          <w:sz w:val="24"/>
          <w:szCs w:val="24"/>
        </w:rPr>
        <w:t>стать</w:t>
      </w:r>
      <w:r w:rsidR="00430F5B" w:rsidRPr="00B9579E">
        <w:rPr>
          <w:sz w:val="24"/>
          <w:szCs w:val="24"/>
        </w:rPr>
        <w:t>ями 2</w:t>
      </w:r>
      <w:r w:rsidR="00B96BF1">
        <w:rPr>
          <w:sz w:val="24"/>
          <w:szCs w:val="24"/>
        </w:rPr>
        <w:t>4</w:t>
      </w:r>
      <w:r w:rsidR="00430F5B" w:rsidRPr="00B9579E">
        <w:rPr>
          <w:sz w:val="24"/>
          <w:szCs w:val="24"/>
        </w:rPr>
        <w:t>, 2</w:t>
      </w:r>
      <w:r w:rsidR="00B96BF1">
        <w:rPr>
          <w:sz w:val="24"/>
          <w:szCs w:val="24"/>
        </w:rPr>
        <w:t>5</w:t>
      </w:r>
      <w:r w:rsidR="00803359" w:rsidRPr="00B9579E">
        <w:rPr>
          <w:sz w:val="24"/>
          <w:szCs w:val="24"/>
        </w:rPr>
        <w:t xml:space="preserve"> </w:t>
      </w:r>
      <w:r w:rsidR="00430F5B" w:rsidRPr="00D66444">
        <w:rPr>
          <w:sz w:val="24"/>
          <w:szCs w:val="24"/>
        </w:rPr>
        <w:t xml:space="preserve">Положения о бюджетном процессе в </w:t>
      </w:r>
      <w:r w:rsidR="009A5EB2" w:rsidRPr="00D66444">
        <w:rPr>
          <w:sz w:val="24"/>
          <w:szCs w:val="24"/>
        </w:rPr>
        <w:t>Знаменском</w:t>
      </w:r>
      <w:r w:rsidR="00430F5B" w:rsidRPr="00D66444">
        <w:rPr>
          <w:sz w:val="24"/>
          <w:szCs w:val="24"/>
        </w:rPr>
        <w:t xml:space="preserve"> муниципальном образовании</w:t>
      </w:r>
      <w:r w:rsidR="00B9579E" w:rsidRPr="00D66444">
        <w:rPr>
          <w:sz w:val="24"/>
          <w:szCs w:val="24"/>
        </w:rPr>
        <w:t xml:space="preserve">, утвержденного решением Думы </w:t>
      </w:r>
      <w:r w:rsidR="009A5EB2" w:rsidRPr="00D66444">
        <w:rPr>
          <w:sz w:val="24"/>
          <w:szCs w:val="24"/>
        </w:rPr>
        <w:t>Знаменского</w:t>
      </w:r>
      <w:r w:rsidR="00B9579E" w:rsidRPr="00D66444">
        <w:rPr>
          <w:sz w:val="24"/>
          <w:szCs w:val="24"/>
        </w:rPr>
        <w:t xml:space="preserve"> сельского поселения от </w:t>
      </w:r>
      <w:r w:rsidR="00EA18F4" w:rsidRPr="00D66444">
        <w:rPr>
          <w:sz w:val="24"/>
          <w:szCs w:val="24"/>
        </w:rPr>
        <w:t>06</w:t>
      </w:r>
      <w:r w:rsidR="00B9579E" w:rsidRPr="00D66444">
        <w:rPr>
          <w:sz w:val="24"/>
          <w:szCs w:val="24"/>
        </w:rPr>
        <w:t>.0</w:t>
      </w:r>
      <w:r w:rsidR="00EA18F4" w:rsidRPr="00D66444">
        <w:rPr>
          <w:sz w:val="24"/>
          <w:szCs w:val="24"/>
        </w:rPr>
        <w:t>7</w:t>
      </w:r>
      <w:r w:rsidR="00B9579E" w:rsidRPr="00D66444">
        <w:rPr>
          <w:sz w:val="24"/>
          <w:szCs w:val="24"/>
        </w:rPr>
        <w:t xml:space="preserve">.2020 № </w:t>
      </w:r>
      <w:r w:rsidR="00EA18F4" w:rsidRPr="00D66444">
        <w:rPr>
          <w:sz w:val="24"/>
          <w:szCs w:val="24"/>
        </w:rPr>
        <w:t>81</w:t>
      </w:r>
      <w:r w:rsidR="00B9579E" w:rsidRPr="00D66444">
        <w:rPr>
          <w:sz w:val="24"/>
          <w:szCs w:val="24"/>
        </w:rPr>
        <w:t>.</w:t>
      </w:r>
    </w:p>
    <w:p w:rsidR="00D61F1F" w:rsidRDefault="00D61F1F" w:rsidP="00D61F1F">
      <w:pPr>
        <w:autoSpaceDE w:val="0"/>
        <w:autoSpaceDN w:val="0"/>
        <w:adjustRightInd w:val="0"/>
        <w:ind w:firstLine="709"/>
        <w:jc w:val="both"/>
      </w:pPr>
      <w:r>
        <w:t xml:space="preserve">Экспертиза проекта бюджета </w:t>
      </w:r>
      <w:r w:rsidR="009A5EB2">
        <w:t>Знаменского</w:t>
      </w:r>
      <w:r>
        <w:t xml:space="preserve"> муниципального образования проведена по вопросам сбалансированности местного бюджета</w:t>
      </w:r>
      <w:r w:rsidR="00D371FC">
        <w:t>,</w:t>
      </w:r>
      <w: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26ADC"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w:t>
      </w:r>
      <w:r w:rsidR="00D20F1A">
        <w:t>1</w:t>
      </w:r>
      <w:r>
        <w:t xml:space="preserve"> год и на плановый период 20</w:t>
      </w:r>
      <w:r w:rsidR="00AF3A4B">
        <w:t>2</w:t>
      </w:r>
      <w:r w:rsidR="00D20F1A">
        <w:t>2</w:t>
      </w:r>
      <w:r>
        <w:t xml:space="preserve"> и 20</w:t>
      </w:r>
      <w:r w:rsidR="004068CA">
        <w:t>2</w:t>
      </w:r>
      <w:r w:rsidR="00D20F1A">
        <w:t>3</w:t>
      </w:r>
      <w:r>
        <w:t xml:space="preserve"> годов», относящихся к планированию бюджета </w:t>
      </w:r>
      <w:r w:rsidR="009A5EB2">
        <w:t>Знаменского</w:t>
      </w:r>
      <w:r w:rsidR="0000549E">
        <w:t xml:space="preserve"> </w:t>
      </w:r>
      <w:r w:rsidR="00D20F1A">
        <w:t>муниципального образования</w:t>
      </w:r>
      <w:r w:rsidR="006D0DD2">
        <w:t xml:space="preserve"> (далее – бюджет поселения)</w:t>
      </w:r>
      <w:r>
        <w:t xml:space="preserve">, </w:t>
      </w:r>
      <w:r w:rsidR="00641F8C">
        <w:t>Прогноза</w:t>
      </w:r>
      <w:r>
        <w:t xml:space="preserve"> социально-экономического развития </w:t>
      </w:r>
      <w:r w:rsidR="009A5EB2">
        <w:t>Знаменского</w:t>
      </w:r>
      <w:r w:rsidR="0000549E">
        <w:t xml:space="preserve"> </w:t>
      </w:r>
      <w:r w:rsidR="00BB27A8">
        <w:t>муниципального образования</w:t>
      </w:r>
      <w:r w:rsidR="00050193">
        <w:t xml:space="preserve"> на 20</w:t>
      </w:r>
      <w:r w:rsidR="00BB27A8">
        <w:t>2</w:t>
      </w:r>
      <w:r w:rsidR="00D20F1A">
        <w:t>1</w:t>
      </w:r>
      <w:r w:rsidR="00050193">
        <w:t>-202</w:t>
      </w:r>
      <w:r w:rsidR="00D20F1A">
        <w:t>3</w:t>
      </w:r>
      <w:r w:rsidR="00050193">
        <w:t xml:space="preserve"> гг.</w:t>
      </w:r>
      <w:r>
        <w:t xml:space="preserve">, Основных направлений бюджетной </w:t>
      </w:r>
      <w:r w:rsidR="0089141F">
        <w:t xml:space="preserve">политики и основных направлений </w:t>
      </w:r>
      <w:r w:rsidR="005B3D37">
        <w:t xml:space="preserve">налоговой политики </w:t>
      </w:r>
      <w:r w:rsidR="009A5EB2">
        <w:t>Знаменского</w:t>
      </w:r>
      <w:r w:rsidR="0000549E">
        <w:t xml:space="preserve"> </w:t>
      </w:r>
      <w:r w:rsidR="009738D3">
        <w:t>муниципального образования</w:t>
      </w:r>
      <w:r w:rsidR="00BA727E">
        <w:t xml:space="preserve"> </w:t>
      </w:r>
      <w:r w:rsidR="00803359">
        <w:t>на 202</w:t>
      </w:r>
      <w:r w:rsidR="00D20F1A">
        <w:t>1</w:t>
      </w:r>
      <w:r w:rsidR="00803359">
        <w:t xml:space="preserve"> год и </w:t>
      </w:r>
      <w:r w:rsidR="00BB27A8">
        <w:t xml:space="preserve">на </w:t>
      </w:r>
      <w:r w:rsidR="00803359">
        <w:t>плановый период 202</w:t>
      </w:r>
      <w:r w:rsidR="00755284">
        <w:t>2</w:t>
      </w:r>
      <w:r w:rsidR="00803359">
        <w:t xml:space="preserve"> и 202</w:t>
      </w:r>
      <w:r w:rsidR="00755284">
        <w:t>3</w:t>
      </w:r>
      <w:r w:rsidR="00EA4684">
        <w:t xml:space="preserve"> годов</w:t>
      </w:r>
      <w:r w:rsidR="00126ADC">
        <w:t>.</w:t>
      </w:r>
    </w:p>
    <w:p w:rsidR="00D61F1F" w:rsidRDefault="00126ADC" w:rsidP="006C047A">
      <w:pPr>
        <w:autoSpaceDE w:val="0"/>
        <w:autoSpaceDN w:val="0"/>
        <w:adjustRightInd w:val="0"/>
        <w:ind w:firstLine="709"/>
        <w:jc w:val="both"/>
      </w:pPr>
      <w:r>
        <w:t>Д</w:t>
      </w:r>
      <w:r w:rsidR="00755284">
        <w:t>окумент</w:t>
      </w:r>
      <w:r>
        <w:t>ы</w:t>
      </w:r>
      <w:r w:rsidR="00755284">
        <w:t xml:space="preserve"> и материал</w:t>
      </w:r>
      <w:r>
        <w:t>ы</w:t>
      </w:r>
      <w:r w:rsidR="00755284">
        <w:t>, представленны</w:t>
      </w:r>
      <w:r>
        <w:t xml:space="preserve">е Администрацией </w:t>
      </w:r>
      <w:r w:rsidR="009A5EB2">
        <w:t>Знаменского</w:t>
      </w:r>
      <w:r>
        <w:t xml:space="preserve"> муниципального образования одновременно с проектом бюджета, </w:t>
      </w:r>
      <w:r w:rsidR="00A112AF">
        <w:t xml:space="preserve">по своему составу </w:t>
      </w:r>
      <w:r>
        <w:t>в полной мере соответствует требованиям</w:t>
      </w:r>
      <w:r w:rsidR="00040D10">
        <w:t xml:space="preserve"> ст. 184.2 БК РФ</w:t>
      </w:r>
      <w:bookmarkStart w:id="0" w:name="sub_18422"/>
      <w:r w:rsidR="00D61F1F">
        <w:t>:</w:t>
      </w:r>
    </w:p>
    <w:p w:rsidR="004B5B5C" w:rsidRPr="004B5B5C" w:rsidRDefault="006C047A" w:rsidP="004B5B5C">
      <w:pPr>
        <w:autoSpaceDE w:val="0"/>
        <w:autoSpaceDN w:val="0"/>
        <w:adjustRightInd w:val="0"/>
        <w:ind w:firstLine="720"/>
        <w:jc w:val="both"/>
      </w:pPr>
      <w:r>
        <w:t>1</w:t>
      </w:r>
      <w:r w:rsidR="00D61F1F" w:rsidRPr="00B23F5D">
        <w:t xml:space="preserve">.  </w:t>
      </w:r>
      <w:r w:rsidR="004B5B5C" w:rsidRPr="004B5B5C">
        <w:t xml:space="preserve">Руководствуясь статьей 184.2 БК РФ администрация муниципального образования должна разработать основные направления бюджетной и налоговой политики муниципального образования (единый документ) </w:t>
      </w:r>
      <w:r w:rsidR="004B5B5C" w:rsidRPr="00B23F5D">
        <w:t xml:space="preserve">с учетом положений </w:t>
      </w:r>
      <w:r w:rsidR="004B5B5C">
        <w:t>Бюджетного кодекса</w:t>
      </w:r>
      <w:r w:rsidR="004B5B5C" w:rsidRPr="00B23F5D">
        <w:t xml:space="preserve"> РФ, Указа Президента РФ от 07.05.2018 № 204 «О национальных целях и задачах </w:t>
      </w:r>
      <w:r w:rsidR="004B5B5C" w:rsidRPr="00B23F5D">
        <w:lastRenderedPageBreak/>
        <w:t xml:space="preserve">развития Российской Федерации на период до 2024 года», Указа Президента РФ </w:t>
      </w:r>
      <w:r w:rsidR="004B5B5C">
        <w:t xml:space="preserve">от 21.07.2020 № 474 «О национальных целях развития Российской Федерации на период до 2030 года», </w:t>
      </w:r>
      <w:r w:rsidR="004B5B5C" w:rsidRPr="00B23F5D">
        <w:t xml:space="preserve">Послания Президента РФ Федеральному собранию РФ от </w:t>
      </w:r>
      <w:r w:rsidR="004B5B5C">
        <w:t>15</w:t>
      </w:r>
      <w:r w:rsidR="004B5B5C" w:rsidRPr="00B23F5D">
        <w:t xml:space="preserve"> </w:t>
      </w:r>
      <w:r w:rsidR="004B5B5C">
        <w:t>января</w:t>
      </w:r>
      <w:r w:rsidR="004B5B5C" w:rsidRPr="00B23F5D">
        <w:t xml:space="preserve"> 20</w:t>
      </w:r>
      <w:r w:rsidR="004B5B5C">
        <w:t>20</w:t>
      </w:r>
      <w:r w:rsidR="004B5B5C" w:rsidRPr="00B23F5D">
        <w:t xml:space="preserve"> года, муниципальн</w:t>
      </w:r>
      <w:r w:rsidR="004B5B5C">
        <w:t>ых</w:t>
      </w:r>
      <w:r w:rsidR="004B5B5C" w:rsidRPr="00B23F5D">
        <w:t xml:space="preserve"> программ.</w:t>
      </w:r>
    </w:p>
    <w:p w:rsidR="00D61F1F" w:rsidRPr="00267B2A" w:rsidRDefault="00267B2A" w:rsidP="00D61F1F">
      <w:pPr>
        <w:autoSpaceDE w:val="0"/>
        <w:autoSpaceDN w:val="0"/>
        <w:adjustRightInd w:val="0"/>
        <w:ind w:firstLine="720"/>
        <w:jc w:val="both"/>
        <w:rPr>
          <w:i/>
        </w:rPr>
      </w:pPr>
      <w:r w:rsidRPr="007B0E15">
        <w:rPr>
          <w:i/>
        </w:rPr>
        <w:t xml:space="preserve">КСК района </w:t>
      </w:r>
      <w:r>
        <w:rPr>
          <w:i/>
        </w:rPr>
        <w:t>ПОВТОРНО</w:t>
      </w:r>
      <w:r w:rsidRPr="00267B2A">
        <w:rPr>
          <w:i/>
        </w:rPr>
        <w:t xml:space="preserve"> </w:t>
      </w:r>
      <w:r>
        <w:rPr>
          <w:i/>
        </w:rPr>
        <w:t xml:space="preserve">отмечает! (Заключение от 05.12.2019 года № 46/2019-э </w:t>
      </w:r>
      <w:r w:rsidRPr="00267B2A">
        <w:rPr>
          <w:i/>
        </w:rPr>
        <w:t>по результатам экспертизы проекта решения Думы Знаменского сельского поселения «</w:t>
      </w:r>
      <w:r w:rsidRPr="00267B2A">
        <w:rPr>
          <w:bCs/>
          <w:i/>
        </w:rPr>
        <w:t>О бюджете Знаменского сельского поселения на 2020 год и плановый период 2021 и 2022 годов»)</w:t>
      </w:r>
      <w:r w:rsidRPr="00267B2A">
        <w:rPr>
          <w:i/>
        </w:rPr>
        <w:t>,</w:t>
      </w:r>
      <w:r>
        <w:rPr>
          <w:i/>
        </w:rPr>
        <w:t xml:space="preserve"> </w:t>
      </w:r>
      <w:r w:rsidRPr="00267B2A">
        <w:rPr>
          <w:i/>
        </w:rPr>
        <w:t xml:space="preserve">что </w:t>
      </w:r>
      <w:r>
        <w:rPr>
          <w:i/>
        </w:rPr>
        <w:t>в</w:t>
      </w:r>
      <w:r w:rsidR="004B5B5C">
        <w:t xml:space="preserve"> </w:t>
      </w:r>
      <w:r w:rsidR="004B5B5C" w:rsidRPr="00267B2A">
        <w:rPr>
          <w:i/>
        </w:rPr>
        <w:t xml:space="preserve">нарушение статьи 184.2 БК РФ Администрацией Знаменского муниципального образования </w:t>
      </w:r>
      <w:r w:rsidRPr="00267B2A">
        <w:rPr>
          <w:i/>
        </w:rPr>
        <w:t>разработаны</w:t>
      </w:r>
      <w:r w:rsidR="004B5B5C" w:rsidRPr="00267B2A">
        <w:rPr>
          <w:i/>
        </w:rPr>
        <w:t xml:space="preserve"> </w:t>
      </w:r>
      <w:r w:rsidR="00D61F1F" w:rsidRPr="00267B2A">
        <w:rPr>
          <w:i/>
          <w:u w:val="single"/>
        </w:rPr>
        <w:t xml:space="preserve">Основные направления бюджетной </w:t>
      </w:r>
      <w:r w:rsidR="0089141F" w:rsidRPr="00267B2A">
        <w:rPr>
          <w:i/>
          <w:u w:val="single"/>
        </w:rPr>
        <w:t>политики</w:t>
      </w:r>
      <w:r w:rsidR="0089141F" w:rsidRPr="00267B2A">
        <w:rPr>
          <w:i/>
        </w:rPr>
        <w:t xml:space="preserve"> </w:t>
      </w:r>
      <w:r w:rsidR="00D61F1F" w:rsidRPr="00267B2A">
        <w:rPr>
          <w:i/>
          <w:u w:val="single"/>
        </w:rPr>
        <w:t xml:space="preserve">и </w:t>
      </w:r>
      <w:r w:rsidR="0089141F" w:rsidRPr="00267B2A">
        <w:rPr>
          <w:i/>
          <w:u w:val="single"/>
        </w:rPr>
        <w:t xml:space="preserve">основные направления </w:t>
      </w:r>
      <w:r w:rsidR="00D61F1F" w:rsidRPr="00267B2A">
        <w:rPr>
          <w:i/>
          <w:u w:val="single"/>
        </w:rPr>
        <w:t>налоговой политики</w:t>
      </w:r>
      <w:r w:rsidR="00D61F1F" w:rsidRPr="00267B2A">
        <w:rPr>
          <w:i/>
        </w:rPr>
        <w:t xml:space="preserve"> </w:t>
      </w:r>
      <w:r w:rsidR="009A5EB2" w:rsidRPr="00267B2A">
        <w:rPr>
          <w:i/>
        </w:rPr>
        <w:t>Знаменского</w:t>
      </w:r>
      <w:r w:rsidR="00D61F1F" w:rsidRPr="00267B2A">
        <w:rPr>
          <w:i/>
        </w:rPr>
        <w:t xml:space="preserve"> муниципального образования на </w:t>
      </w:r>
      <w:r w:rsidR="006C047A" w:rsidRPr="00267B2A">
        <w:rPr>
          <w:i/>
        </w:rPr>
        <w:t>2021 год и на плановый период 2022 и 2023 годов</w:t>
      </w:r>
      <w:r w:rsidR="004B5B5C" w:rsidRPr="00267B2A">
        <w:rPr>
          <w:i/>
        </w:rPr>
        <w:t xml:space="preserve"> (далее – Основные направления),</w:t>
      </w:r>
      <w:r w:rsidR="00D61F1F" w:rsidRPr="00267B2A">
        <w:rPr>
          <w:i/>
        </w:rPr>
        <w:t xml:space="preserve"> </w:t>
      </w:r>
      <w:r w:rsidR="004B5B5C" w:rsidRPr="00267B2A">
        <w:rPr>
          <w:i/>
        </w:rPr>
        <w:t xml:space="preserve">которые </w:t>
      </w:r>
      <w:r w:rsidR="00D61F1F" w:rsidRPr="00267B2A">
        <w:rPr>
          <w:i/>
        </w:rPr>
        <w:t xml:space="preserve">утверждены постановлением </w:t>
      </w:r>
      <w:r w:rsidR="00CC3746" w:rsidRPr="00267B2A">
        <w:rPr>
          <w:i/>
        </w:rPr>
        <w:t>А</w:t>
      </w:r>
      <w:r w:rsidR="00D61F1F" w:rsidRPr="00267B2A">
        <w:rPr>
          <w:i/>
        </w:rPr>
        <w:t xml:space="preserve">дминистрации </w:t>
      </w:r>
      <w:r w:rsidR="009A5EB2" w:rsidRPr="00267B2A">
        <w:rPr>
          <w:i/>
        </w:rPr>
        <w:t>Знаменского</w:t>
      </w:r>
      <w:r w:rsidR="00D61F1F" w:rsidRPr="00267B2A">
        <w:rPr>
          <w:i/>
        </w:rPr>
        <w:t xml:space="preserve"> сельского поселения от </w:t>
      </w:r>
      <w:r w:rsidR="0089141F" w:rsidRPr="00267B2A">
        <w:rPr>
          <w:i/>
        </w:rPr>
        <w:t>09</w:t>
      </w:r>
      <w:r w:rsidR="00D61F1F" w:rsidRPr="00267B2A">
        <w:rPr>
          <w:i/>
        </w:rPr>
        <w:t>.1</w:t>
      </w:r>
      <w:r w:rsidR="0089141F" w:rsidRPr="00267B2A">
        <w:rPr>
          <w:i/>
        </w:rPr>
        <w:t>1</w:t>
      </w:r>
      <w:r w:rsidR="00D61F1F" w:rsidRPr="00267B2A">
        <w:rPr>
          <w:i/>
        </w:rPr>
        <w:t>.20</w:t>
      </w:r>
      <w:r w:rsidR="00CC3746" w:rsidRPr="00267B2A">
        <w:rPr>
          <w:i/>
        </w:rPr>
        <w:t>20</w:t>
      </w:r>
      <w:r w:rsidR="00D61F1F" w:rsidRPr="00267B2A">
        <w:rPr>
          <w:i/>
        </w:rPr>
        <w:t xml:space="preserve"> № </w:t>
      </w:r>
      <w:r w:rsidR="0089141F" w:rsidRPr="00267B2A">
        <w:rPr>
          <w:i/>
        </w:rPr>
        <w:t>43</w:t>
      </w:r>
      <w:r w:rsidR="004B5B5C" w:rsidRPr="00267B2A">
        <w:rPr>
          <w:i/>
        </w:rPr>
        <w:t>.</w:t>
      </w:r>
      <w:r w:rsidR="00D61F1F" w:rsidRPr="00267B2A">
        <w:rPr>
          <w:i/>
        </w:rPr>
        <w:t xml:space="preserve"> </w:t>
      </w:r>
    </w:p>
    <w:p w:rsidR="006A4746" w:rsidRPr="007255F5" w:rsidRDefault="007B0E15" w:rsidP="006A4746">
      <w:pPr>
        <w:tabs>
          <w:tab w:val="left" w:pos="8220"/>
        </w:tabs>
        <w:ind w:firstLine="709"/>
        <w:jc w:val="both"/>
        <w:rPr>
          <w:i/>
        </w:rPr>
      </w:pPr>
      <w:r w:rsidRPr="00267B2A">
        <w:rPr>
          <w:i/>
        </w:rPr>
        <w:t xml:space="preserve">Основные направления </w:t>
      </w:r>
      <w:r w:rsidR="004B5B5C" w:rsidRPr="00267B2A">
        <w:rPr>
          <w:i/>
        </w:rPr>
        <w:t xml:space="preserve">не </w:t>
      </w:r>
      <w:r w:rsidRPr="00267B2A">
        <w:rPr>
          <w:i/>
        </w:rPr>
        <w:t>содержат итогов реализации бюджетной</w:t>
      </w:r>
      <w:r w:rsidRPr="007B0E15">
        <w:rPr>
          <w:i/>
        </w:rPr>
        <w:t xml:space="preserve"> и налоговой политики в </w:t>
      </w:r>
      <w:r w:rsidR="0089141F">
        <w:rPr>
          <w:i/>
        </w:rPr>
        <w:t>2019-</w:t>
      </w:r>
      <w:r w:rsidRPr="007B0E15">
        <w:rPr>
          <w:i/>
        </w:rPr>
        <w:t>2020 год</w:t>
      </w:r>
      <w:r w:rsidR="0089141F">
        <w:rPr>
          <w:i/>
        </w:rPr>
        <w:t>ах</w:t>
      </w:r>
      <w:r w:rsidR="006A4746">
        <w:rPr>
          <w:i/>
        </w:rPr>
        <w:t xml:space="preserve">, содержат ссылки на «устаревшие» (не действующие) нормативные акты, например: </w:t>
      </w:r>
      <w:hyperlink w:anchor="sub_9991" w:history="1">
        <w:r w:rsidR="006A4746" w:rsidRPr="007255F5">
          <w:rPr>
            <w:i/>
          </w:rPr>
          <w:t>Методические рекомендации</w:t>
        </w:r>
      </w:hyperlink>
      <w:r w:rsidR="006A4746" w:rsidRPr="007255F5">
        <w:rPr>
          <w:i/>
        </w:rPr>
        <w:t xml:space="preserve"> по определению численности работников органов местного самоуправления муниципального образования Иркутской области, утвержденные приказом Министерства труда и занятости Иркутской области</w:t>
      </w:r>
      <w:r w:rsidR="00035527" w:rsidRPr="007255F5">
        <w:rPr>
          <w:i/>
        </w:rPr>
        <w:t xml:space="preserve"> </w:t>
      </w:r>
      <w:r w:rsidR="006A4746" w:rsidRPr="007255F5">
        <w:rPr>
          <w:i/>
        </w:rPr>
        <w:t>от 14 октября 2013 г. № 57-МПР</w:t>
      </w:r>
      <w:r w:rsidR="00035527" w:rsidRPr="007255F5">
        <w:rPr>
          <w:i/>
        </w:rPr>
        <w:t xml:space="preserve"> (с изменениями от 24 декабря 2014 года). Следовало указать «(с изменениями от 05.12.2019 года)».</w:t>
      </w:r>
    </w:p>
    <w:p w:rsidR="00D61F1F" w:rsidRPr="007E0FCE" w:rsidRDefault="00D61F1F" w:rsidP="00267B2A">
      <w:pPr>
        <w:pStyle w:val="a3"/>
        <w:tabs>
          <w:tab w:val="left" w:pos="0"/>
        </w:tabs>
        <w:autoSpaceDE/>
        <w:autoSpaceDN/>
        <w:spacing w:after="0"/>
        <w:ind w:firstLine="567"/>
        <w:jc w:val="both"/>
        <w:rPr>
          <w:sz w:val="24"/>
          <w:szCs w:val="24"/>
        </w:rPr>
      </w:pPr>
      <w:r w:rsidRPr="007E0FCE">
        <w:rPr>
          <w:sz w:val="24"/>
          <w:szCs w:val="24"/>
        </w:rPr>
        <w:t xml:space="preserve">2. </w:t>
      </w:r>
      <w:bookmarkEnd w:id="0"/>
      <w:r w:rsidRPr="007E0FCE">
        <w:rPr>
          <w:sz w:val="24"/>
          <w:szCs w:val="24"/>
          <w:u w:val="single"/>
        </w:rPr>
        <w:t xml:space="preserve">Предварительные итоги социально-экономического развития </w:t>
      </w:r>
      <w:r w:rsidR="009A5EB2" w:rsidRPr="007E0FCE">
        <w:rPr>
          <w:sz w:val="24"/>
          <w:szCs w:val="24"/>
          <w:u w:val="single"/>
        </w:rPr>
        <w:t>Знаменского</w:t>
      </w:r>
      <w:r w:rsidRPr="007E0FCE">
        <w:rPr>
          <w:sz w:val="24"/>
          <w:szCs w:val="24"/>
          <w:u w:val="single"/>
        </w:rPr>
        <w:t xml:space="preserve"> </w:t>
      </w:r>
      <w:r w:rsidR="00551714">
        <w:rPr>
          <w:sz w:val="24"/>
          <w:szCs w:val="24"/>
          <w:u w:val="single"/>
        </w:rPr>
        <w:t>сельского поселения</w:t>
      </w:r>
      <w:r w:rsidRPr="007E0FCE">
        <w:rPr>
          <w:sz w:val="24"/>
          <w:szCs w:val="24"/>
          <w:u w:val="single"/>
        </w:rPr>
        <w:t xml:space="preserve"> за 9 месяцев 20</w:t>
      </w:r>
      <w:r w:rsidR="00A316AA" w:rsidRPr="007E0FCE">
        <w:rPr>
          <w:sz w:val="24"/>
          <w:szCs w:val="24"/>
          <w:u w:val="single"/>
        </w:rPr>
        <w:t>20</w:t>
      </w:r>
      <w:r w:rsidRPr="007E0FCE">
        <w:rPr>
          <w:sz w:val="24"/>
          <w:szCs w:val="24"/>
          <w:u w:val="single"/>
        </w:rPr>
        <w:t xml:space="preserve"> года и ожидаемые итоги за текущий </w:t>
      </w:r>
      <w:r w:rsidR="00310024" w:rsidRPr="007E0FCE">
        <w:rPr>
          <w:sz w:val="24"/>
          <w:szCs w:val="24"/>
          <w:u w:val="single"/>
        </w:rPr>
        <w:t>2020</w:t>
      </w:r>
      <w:r w:rsidRPr="007E0FCE">
        <w:rPr>
          <w:sz w:val="24"/>
          <w:szCs w:val="24"/>
          <w:u w:val="single"/>
        </w:rPr>
        <w:t xml:space="preserve"> год</w:t>
      </w:r>
      <w:r w:rsidRPr="007E0FCE">
        <w:rPr>
          <w:sz w:val="24"/>
          <w:szCs w:val="24"/>
        </w:rPr>
        <w:t>.</w:t>
      </w:r>
    </w:p>
    <w:p w:rsidR="00D61F1F" w:rsidRPr="002D68C0" w:rsidRDefault="00D61F1F" w:rsidP="00D61F1F">
      <w:pPr>
        <w:autoSpaceDE w:val="0"/>
        <w:autoSpaceDN w:val="0"/>
        <w:adjustRightInd w:val="0"/>
        <w:ind w:firstLine="720"/>
        <w:jc w:val="both"/>
      </w:pPr>
      <w:r w:rsidRPr="002D68C0">
        <w:t xml:space="preserve">3. </w:t>
      </w:r>
      <w:r w:rsidRPr="00702EA9">
        <w:rPr>
          <w:u w:val="single"/>
        </w:rPr>
        <w:t xml:space="preserve">Прогноз социально-экономического развития </w:t>
      </w:r>
      <w:r w:rsidR="009A5EB2">
        <w:rPr>
          <w:u w:val="single"/>
        </w:rPr>
        <w:t>Знаменского</w:t>
      </w:r>
      <w:r w:rsidRPr="00702EA9">
        <w:rPr>
          <w:u w:val="single"/>
        </w:rPr>
        <w:t xml:space="preserve"> </w:t>
      </w:r>
      <w:r w:rsidR="00551714">
        <w:rPr>
          <w:u w:val="single"/>
        </w:rPr>
        <w:t>сельского поселения</w:t>
      </w:r>
      <w:r w:rsidRPr="00702EA9">
        <w:rPr>
          <w:u w:val="single"/>
        </w:rPr>
        <w:t xml:space="preserve"> на 202</w:t>
      </w:r>
      <w:r w:rsidR="00310024">
        <w:rPr>
          <w:u w:val="single"/>
        </w:rPr>
        <w:t>1</w:t>
      </w:r>
      <w:r w:rsidRPr="00702EA9">
        <w:rPr>
          <w:u w:val="single"/>
        </w:rPr>
        <w:t>-202</w:t>
      </w:r>
      <w:r w:rsidR="00310024">
        <w:rPr>
          <w:u w:val="single"/>
        </w:rPr>
        <w:t>3</w:t>
      </w:r>
      <w:r w:rsidRPr="00702EA9">
        <w:rPr>
          <w:u w:val="single"/>
        </w:rPr>
        <w:t xml:space="preserve"> годы</w:t>
      </w:r>
      <w:r w:rsidRPr="002D68C0">
        <w:t>.</w:t>
      </w:r>
    </w:p>
    <w:p w:rsidR="00D61F1F" w:rsidRPr="00F94A85" w:rsidRDefault="00D61F1F" w:rsidP="00D61F1F">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955EF4" w:rsidRDefault="00310024" w:rsidP="00D61F1F">
      <w:pPr>
        <w:ind w:firstLine="567"/>
        <w:jc w:val="both"/>
      </w:pPr>
      <w:r>
        <w:t>П</w:t>
      </w:r>
      <w:r w:rsidR="00D61F1F" w:rsidRPr="00E83035">
        <w:t xml:space="preserve">рогноз социально-экономического развития </w:t>
      </w:r>
      <w:r w:rsidR="009A5EB2">
        <w:t>Знаменского</w:t>
      </w:r>
      <w:r w:rsidR="00551714">
        <w:t xml:space="preserve"> сельского поселения </w:t>
      </w:r>
      <w:r w:rsidR="00D61F1F" w:rsidRPr="00E83035">
        <w:t>на 20</w:t>
      </w:r>
      <w:r w:rsidR="00D61F1F">
        <w:t>2</w:t>
      </w:r>
      <w:r>
        <w:t>1</w:t>
      </w:r>
      <w:r w:rsidR="00D61F1F" w:rsidRPr="00E83035">
        <w:t>-202</w:t>
      </w:r>
      <w:r>
        <w:t>3</w:t>
      </w:r>
      <w:r w:rsidR="00D61F1F" w:rsidRPr="00E83035">
        <w:t xml:space="preserve"> годы </w:t>
      </w:r>
      <w:r w:rsidR="0019153F">
        <w:t>разработан на вариативной основе</w:t>
      </w:r>
      <w:r w:rsidR="00551714">
        <w:t xml:space="preserve"> (два варианта</w:t>
      </w:r>
      <w:r w:rsidR="003F7A39">
        <w:t>, за основу взят 1 вариант – согласно пояснительной записки</w:t>
      </w:r>
      <w:r w:rsidR="00551714">
        <w:t>)</w:t>
      </w:r>
      <w:r w:rsidR="0019153F">
        <w:t xml:space="preserve"> и</w:t>
      </w:r>
      <w:r w:rsidR="00CD36F0">
        <w:t xml:space="preserve"> </w:t>
      </w:r>
      <w:r w:rsidR="00D61F1F" w:rsidRPr="00E83035">
        <w:t xml:space="preserve">одобрен постановлением администрации </w:t>
      </w:r>
      <w:r w:rsidR="009A5EB2">
        <w:t>Знаменского</w:t>
      </w:r>
      <w:r w:rsidR="00D61F1F" w:rsidRPr="00E83035">
        <w:t xml:space="preserve"> сельского поселения от </w:t>
      </w:r>
      <w:r w:rsidR="00551714">
        <w:t>10</w:t>
      </w:r>
      <w:r w:rsidR="00D61F1F" w:rsidRPr="00E83035">
        <w:t>.1</w:t>
      </w:r>
      <w:r w:rsidR="00551714">
        <w:t>1</w:t>
      </w:r>
      <w:r w:rsidR="00D61F1F" w:rsidRPr="00E83035">
        <w:t>.20</w:t>
      </w:r>
      <w:r>
        <w:t>20</w:t>
      </w:r>
      <w:r w:rsidR="00D61F1F" w:rsidRPr="00E83035">
        <w:t xml:space="preserve"> № </w:t>
      </w:r>
      <w:r w:rsidR="00D61F1F">
        <w:t>4</w:t>
      </w:r>
      <w:r w:rsidR="00551714">
        <w:t>4</w:t>
      </w:r>
      <w:r w:rsidR="00955EF4">
        <w:t xml:space="preserve"> (далее - Прогноз)</w:t>
      </w:r>
      <w:r>
        <w:t>, что</w:t>
      </w:r>
      <w:r w:rsidRPr="00310024">
        <w:t xml:space="preserve"> </w:t>
      </w:r>
      <w:r w:rsidRPr="00E83035">
        <w:t>соответ</w:t>
      </w:r>
      <w:r>
        <w:t>ствует</w:t>
      </w:r>
      <w:r w:rsidRPr="00E83035">
        <w:t xml:space="preserve"> </w:t>
      </w:r>
      <w:r>
        <w:t xml:space="preserve">требованиям </w:t>
      </w:r>
      <w:r w:rsidRPr="00E83035">
        <w:t>п</w:t>
      </w:r>
      <w:r>
        <w:t xml:space="preserve">ункта </w:t>
      </w:r>
      <w:r w:rsidRPr="00E83035">
        <w:t>3 ст</w:t>
      </w:r>
      <w:r>
        <w:t xml:space="preserve">атьи </w:t>
      </w:r>
      <w:r w:rsidRPr="00E83035">
        <w:t>173 БК РФ</w:t>
      </w:r>
      <w:r w:rsidR="00D61F1F" w:rsidRPr="00E83035">
        <w:t>.</w:t>
      </w:r>
    </w:p>
    <w:p w:rsidR="00955EF4" w:rsidRPr="00955EF4" w:rsidRDefault="00955EF4" w:rsidP="00955EF4">
      <w:pPr>
        <w:ind w:firstLine="567"/>
        <w:jc w:val="both"/>
        <w:rPr>
          <w:i/>
        </w:rPr>
      </w:pPr>
      <w:r w:rsidRPr="00955EF4">
        <w:rPr>
          <w:i/>
        </w:rPr>
        <w:t xml:space="preserve">В </w:t>
      </w:r>
      <w:r w:rsidR="00551714">
        <w:rPr>
          <w:i/>
        </w:rPr>
        <w:t xml:space="preserve">нарушение </w:t>
      </w:r>
      <w:r w:rsidRPr="00955EF4">
        <w:rPr>
          <w:i/>
        </w:rPr>
        <w:t xml:space="preserve">требований абзаца 2 пункта 4 статьи 173 БК РФ </w:t>
      </w:r>
      <w:bookmarkStart w:id="1" w:name="sub_173402"/>
      <w:r w:rsidR="00551714">
        <w:rPr>
          <w:i/>
        </w:rPr>
        <w:t xml:space="preserve">в представленной </w:t>
      </w:r>
      <w:r w:rsidRPr="00955EF4">
        <w:rPr>
          <w:i/>
        </w:rPr>
        <w:t>пояснительн</w:t>
      </w:r>
      <w:r w:rsidR="00551714">
        <w:rPr>
          <w:i/>
        </w:rPr>
        <w:t>ой</w:t>
      </w:r>
      <w:r w:rsidRPr="00955EF4">
        <w:rPr>
          <w:i/>
        </w:rPr>
        <w:t xml:space="preserve"> записк</w:t>
      </w:r>
      <w:r w:rsidR="00551714">
        <w:rPr>
          <w:i/>
        </w:rPr>
        <w:t>е</w:t>
      </w:r>
      <w:r w:rsidRPr="00955EF4">
        <w:rPr>
          <w:i/>
        </w:rPr>
        <w:t xml:space="preserve"> к Прогнозу </w:t>
      </w:r>
      <w:r w:rsidR="00551714">
        <w:rPr>
          <w:i/>
        </w:rPr>
        <w:t>не</w:t>
      </w:r>
      <w:r w:rsidRPr="00955EF4">
        <w:rPr>
          <w:i/>
        </w:rPr>
        <w:t xml:space="preserve"> приводится обоснование параметров прогноза </w:t>
      </w:r>
      <w:r w:rsidR="00B63B2C">
        <w:rPr>
          <w:i/>
        </w:rPr>
        <w:t>(</w:t>
      </w:r>
      <w:r w:rsidRPr="00955EF4">
        <w:rPr>
          <w:i/>
        </w:rPr>
        <w:t>в том числе их сопоставление с ранее утвержденными параметрами с указанием причин и факторов прогнозируемых изменений</w:t>
      </w:r>
      <w:r w:rsidR="00B63B2C">
        <w:rPr>
          <w:i/>
        </w:rPr>
        <w:t xml:space="preserve">), </w:t>
      </w:r>
      <w:r w:rsidR="00551714">
        <w:rPr>
          <w:i/>
        </w:rPr>
        <w:t>не</w:t>
      </w:r>
      <w:r w:rsidR="00B63B2C">
        <w:rPr>
          <w:i/>
        </w:rPr>
        <w:t xml:space="preserve"> указывается какой вариант </w:t>
      </w:r>
      <w:r w:rsidR="003F7A39">
        <w:rPr>
          <w:i/>
        </w:rPr>
        <w:t xml:space="preserve">(базовый или консервативный) </w:t>
      </w:r>
      <w:r w:rsidR="00B63B2C">
        <w:rPr>
          <w:i/>
        </w:rPr>
        <w:t>Прогноза взят за основу</w:t>
      </w:r>
      <w:r w:rsidR="0006007E">
        <w:rPr>
          <w:i/>
        </w:rPr>
        <w:t>.</w:t>
      </w:r>
      <w:r w:rsidR="00B63B2C">
        <w:rPr>
          <w:i/>
        </w:rPr>
        <w:t xml:space="preserve"> </w:t>
      </w:r>
    </w:p>
    <w:bookmarkEnd w:id="1"/>
    <w:p w:rsidR="0006007E" w:rsidRDefault="00CE6965" w:rsidP="00955EF4">
      <w:pPr>
        <w:ind w:firstLine="567"/>
        <w:jc w:val="both"/>
      </w:pPr>
      <w:r w:rsidRPr="00CE6965">
        <w:rPr>
          <w:u w:val="single"/>
        </w:rPr>
        <w:t>Базовый вариант</w:t>
      </w:r>
      <w:r w:rsidRPr="00CE6965">
        <w:t xml:space="preserve"> </w:t>
      </w:r>
      <w: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CE6965" w:rsidRDefault="00CE6965" w:rsidP="00955EF4">
      <w:pPr>
        <w:ind w:firstLine="567"/>
        <w:jc w:val="both"/>
      </w:pPr>
      <w:r w:rsidRPr="00CE6965">
        <w:rPr>
          <w:u w:val="single"/>
        </w:rPr>
        <w:t>Консервативный вариант</w:t>
      </w:r>
      <w:r>
        <w:t xml:space="preserve"> Прогноза характеризует состояние экономики в условиях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994B3D" w:rsidRDefault="00994B3D" w:rsidP="00955EF4">
      <w:pPr>
        <w:ind w:firstLine="567"/>
        <w:jc w:val="both"/>
      </w:pPr>
      <w:r>
        <w:t xml:space="preserve">Анализ социально-экономического развития </w:t>
      </w:r>
      <w:r w:rsidR="009A5EB2">
        <w:t>Знаменского</w:t>
      </w:r>
      <w:r w:rsidR="00CD36F0">
        <w:t xml:space="preserve"> </w:t>
      </w:r>
      <w:r>
        <w:t>муниципального образования на 2021-2023 годы представлен в таблице</w:t>
      </w:r>
      <w:r w:rsidR="0044286D">
        <w:t xml:space="preserve"> 1</w:t>
      </w:r>
      <w:r>
        <w:t>:</w:t>
      </w:r>
    </w:p>
    <w:p w:rsidR="00994B3D" w:rsidRDefault="0044286D" w:rsidP="0044286D">
      <w:pPr>
        <w:ind w:firstLine="567"/>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5"/>
        <w:gridCol w:w="945"/>
        <w:gridCol w:w="1029"/>
        <w:gridCol w:w="1235"/>
        <w:gridCol w:w="1024"/>
        <w:gridCol w:w="57"/>
        <w:gridCol w:w="942"/>
        <w:gridCol w:w="946"/>
        <w:gridCol w:w="917"/>
      </w:tblGrid>
      <w:tr w:rsidR="00AB7F84" w:rsidTr="00AB7F84">
        <w:tc>
          <w:tcPr>
            <w:tcW w:w="2600"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показатели</w:t>
            </w:r>
          </w:p>
        </w:tc>
        <w:tc>
          <w:tcPr>
            <w:tcW w:w="977"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Факт 2019г.</w:t>
            </w:r>
          </w:p>
        </w:tc>
        <w:tc>
          <w:tcPr>
            <w:tcW w:w="1029" w:type="dxa"/>
            <w:vMerge w:val="restart"/>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О</w:t>
            </w:r>
            <w:r w:rsidR="00994B3D" w:rsidRPr="00AB7F84">
              <w:rPr>
                <w:sz w:val="20"/>
                <w:szCs w:val="20"/>
              </w:rPr>
              <w:t>ценка</w:t>
            </w:r>
          </w:p>
          <w:p w:rsidR="00744871" w:rsidRPr="00AB7F84" w:rsidRDefault="00744871" w:rsidP="00AB7F84">
            <w:pPr>
              <w:overflowPunct w:val="0"/>
              <w:autoSpaceDE w:val="0"/>
              <w:autoSpaceDN w:val="0"/>
              <w:adjustRightInd w:val="0"/>
              <w:jc w:val="center"/>
              <w:textAlignment w:val="baseline"/>
              <w:rPr>
                <w:sz w:val="20"/>
                <w:szCs w:val="20"/>
              </w:rPr>
            </w:pPr>
            <w:r w:rsidRPr="00AB7F84">
              <w:rPr>
                <w:sz w:val="20"/>
                <w:szCs w:val="20"/>
              </w:rPr>
              <w:t>2020г. по Прогнозу</w:t>
            </w:r>
          </w:p>
        </w:tc>
        <w:tc>
          <w:tcPr>
            <w:tcW w:w="1235" w:type="dxa"/>
            <w:vMerge w:val="restart"/>
            <w:vAlign w:val="center"/>
          </w:tcPr>
          <w:p w:rsidR="00994B3D" w:rsidRPr="00AB7F84" w:rsidRDefault="00744871" w:rsidP="00AB7F84">
            <w:pPr>
              <w:overflowPunct w:val="0"/>
              <w:autoSpaceDE w:val="0"/>
              <w:autoSpaceDN w:val="0"/>
              <w:adjustRightInd w:val="0"/>
              <w:jc w:val="center"/>
              <w:textAlignment w:val="baseline"/>
              <w:rPr>
                <w:sz w:val="20"/>
                <w:szCs w:val="20"/>
              </w:rPr>
            </w:pPr>
            <w:r w:rsidRPr="00AB7F84">
              <w:rPr>
                <w:sz w:val="20"/>
                <w:szCs w:val="20"/>
              </w:rPr>
              <w:t>Ожидаемые итоги за 2020г.</w:t>
            </w:r>
          </w:p>
        </w:tc>
        <w:tc>
          <w:tcPr>
            <w:tcW w:w="4013" w:type="dxa"/>
            <w:gridSpan w:val="5"/>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прогноз</w:t>
            </w:r>
          </w:p>
        </w:tc>
      </w:tr>
      <w:tr w:rsidR="00AB7F84" w:rsidTr="00AB7F84">
        <w:tc>
          <w:tcPr>
            <w:tcW w:w="2600"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977"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1029"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1235" w:type="dxa"/>
            <w:vMerge/>
            <w:vAlign w:val="center"/>
          </w:tcPr>
          <w:p w:rsidR="00994B3D" w:rsidRPr="00AB7F84" w:rsidRDefault="00994B3D" w:rsidP="00AB7F84">
            <w:pPr>
              <w:overflowPunct w:val="0"/>
              <w:autoSpaceDE w:val="0"/>
              <w:autoSpaceDN w:val="0"/>
              <w:adjustRightInd w:val="0"/>
              <w:jc w:val="center"/>
              <w:textAlignment w:val="baseline"/>
              <w:rPr>
                <w:sz w:val="20"/>
                <w:szCs w:val="20"/>
              </w:rPr>
            </w:pPr>
          </w:p>
        </w:tc>
        <w:tc>
          <w:tcPr>
            <w:tcW w:w="2090" w:type="dxa"/>
            <w:gridSpan w:val="3"/>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2021г.</w:t>
            </w:r>
          </w:p>
        </w:tc>
        <w:tc>
          <w:tcPr>
            <w:tcW w:w="978"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2022г.</w:t>
            </w:r>
          </w:p>
        </w:tc>
        <w:tc>
          <w:tcPr>
            <w:tcW w:w="945" w:type="dxa"/>
            <w:vMerge w:val="restart"/>
            <w:vAlign w:val="center"/>
          </w:tcPr>
          <w:p w:rsidR="00994B3D" w:rsidRPr="00AB7F84" w:rsidRDefault="00994B3D" w:rsidP="00AB7F84">
            <w:pPr>
              <w:overflowPunct w:val="0"/>
              <w:autoSpaceDE w:val="0"/>
              <w:autoSpaceDN w:val="0"/>
              <w:adjustRightInd w:val="0"/>
              <w:jc w:val="center"/>
              <w:textAlignment w:val="baseline"/>
              <w:rPr>
                <w:sz w:val="20"/>
                <w:szCs w:val="20"/>
              </w:rPr>
            </w:pPr>
            <w:r w:rsidRPr="00AB7F84">
              <w:rPr>
                <w:sz w:val="20"/>
                <w:szCs w:val="20"/>
              </w:rPr>
              <w:t>2023г.</w:t>
            </w:r>
          </w:p>
        </w:tc>
      </w:tr>
      <w:tr w:rsidR="00AB7F84" w:rsidTr="00D65AFF">
        <w:tc>
          <w:tcPr>
            <w:tcW w:w="2600" w:type="dxa"/>
            <w:vMerge/>
          </w:tcPr>
          <w:p w:rsidR="00994B3D" w:rsidRDefault="00994B3D" w:rsidP="00AB7F84">
            <w:pPr>
              <w:overflowPunct w:val="0"/>
              <w:autoSpaceDE w:val="0"/>
              <w:autoSpaceDN w:val="0"/>
              <w:adjustRightInd w:val="0"/>
              <w:jc w:val="both"/>
              <w:textAlignment w:val="baseline"/>
            </w:pPr>
          </w:p>
        </w:tc>
        <w:tc>
          <w:tcPr>
            <w:tcW w:w="977" w:type="dxa"/>
            <w:vMerge/>
          </w:tcPr>
          <w:p w:rsidR="00994B3D" w:rsidRDefault="00994B3D" w:rsidP="00AB7F84">
            <w:pPr>
              <w:overflowPunct w:val="0"/>
              <w:autoSpaceDE w:val="0"/>
              <w:autoSpaceDN w:val="0"/>
              <w:adjustRightInd w:val="0"/>
              <w:jc w:val="both"/>
              <w:textAlignment w:val="baseline"/>
            </w:pPr>
          </w:p>
        </w:tc>
        <w:tc>
          <w:tcPr>
            <w:tcW w:w="1029" w:type="dxa"/>
            <w:vMerge/>
          </w:tcPr>
          <w:p w:rsidR="00994B3D" w:rsidRDefault="00994B3D" w:rsidP="00AB7F84">
            <w:pPr>
              <w:overflowPunct w:val="0"/>
              <w:autoSpaceDE w:val="0"/>
              <w:autoSpaceDN w:val="0"/>
              <w:adjustRightInd w:val="0"/>
              <w:jc w:val="both"/>
              <w:textAlignment w:val="baseline"/>
            </w:pPr>
          </w:p>
        </w:tc>
        <w:tc>
          <w:tcPr>
            <w:tcW w:w="1235" w:type="dxa"/>
            <w:vMerge/>
          </w:tcPr>
          <w:p w:rsidR="00994B3D" w:rsidRPr="003855DD" w:rsidRDefault="00994B3D" w:rsidP="00AB7F84">
            <w:pPr>
              <w:overflowPunct w:val="0"/>
              <w:autoSpaceDE w:val="0"/>
              <w:autoSpaceDN w:val="0"/>
              <w:adjustRightInd w:val="0"/>
              <w:jc w:val="both"/>
              <w:textAlignment w:val="baseline"/>
            </w:pPr>
          </w:p>
        </w:tc>
        <w:tc>
          <w:tcPr>
            <w:tcW w:w="1045" w:type="dxa"/>
          </w:tcPr>
          <w:p w:rsidR="00994B3D" w:rsidRPr="003F7A39" w:rsidRDefault="00994B3D" w:rsidP="00AB7F84">
            <w:pPr>
              <w:overflowPunct w:val="0"/>
              <w:autoSpaceDE w:val="0"/>
              <w:autoSpaceDN w:val="0"/>
              <w:adjustRightInd w:val="0"/>
              <w:jc w:val="both"/>
              <w:textAlignment w:val="baseline"/>
              <w:rPr>
                <w:b/>
                <w:sz w:val="20"/>
                <w:szCs w:val="20"/>
              </w:rPr>
            </w:pPr>
            <w:r w:rsidRPr="003F7A39">
              <w:rPr>
                <w:b/>
                <w:sz w:val="20"/>
                <w:szCs w:val="20"/>
              </w:rPr>
              <w:t>1 вар.</w:t>
            </w:r>
            <w:r w:rsidR="003F7A39" w:rsidRPr="003F7A39">
              <w:rPr>
                <w:b/>
                <w:sz w:val="20"/>
                <w:szCs w:val="20"/>
              </w:rPr>
              <w:t xml:space="preserve"> (взят за основу)</w:t>
            </w:r>
          </w:p>
        </w:tc>
        <w:tc>
          <w:tcPr>
            <w:tcW w:w="1045" w:type="dxa"/>
            <w:gridSpan w:val="2"/>
          </w:tcPr>
          <w:p w:rsidR="00994B3D" w:rsidRPr="00AB7F84" w:rsidRDefault="00994B3D" w:rsidP="00AB7F84">
            <w:pPr>
              <w:overflowPunct w:val="0"/>
              <w:autoSpaceDE w:val="0"/>
              <w:autoSpaceDN w:val="0"/>
              <w:adjustRightInd w:val="0"/>
              <w:jc w:val="both"/>
              <w:textAlignment w:val="baseline"/>
              <w:rPr>
                <w:sz w:val="20"/>
                <w:szCs w:val="20"/>
              </w:rPr>
            </w:pPr>
            <w:r w:rsidRPr="00AB7F84">
              <w:rPr>
                <w:sz w:val="20"/>
                <w:szCs w:val="20"/>
              </w:rPr>
              <w:t>2 вар.</w:t>
            </w:r>
          </w:p>
        </w:tc>
        <w:tc>
          <w:tcPr>
            <w:tcW w:w="978" w:type="dxa"/>
            <w:vMerge/>
          </w:tcPr>
          <w:p w:rsidR="00994B3D" w:rsidRDefault="00994B3D" w:rsidP="00AB7F84">
            <w:pPr>
              <w:overflowPunct w:val="0"/>
              <w:autoSpaceDE w:val="0"/>
              <w:autoSpaceDN w:val="0"/>
              <w:adjustRightInd w:val="0"/>
              <w:jc w:val="both"/>
              <w:textAlignment w:val="baseline"/>
            </w:pPr>
          </w:p>
        </w:tc>
        <w:tc>
          <w:tcPr>
            <w:tcW w:w="945" w:type="dxa"/>
            <w:vMerge/>
          </w:tcPr>
          <w:p w:rsidR="00994B3D" w:rsidRDefault="00994B3D" w:rsidP="00AB7F84">
            <w:pPr>
              <w:overflowPunct w:val="0"/>
              <w:autoSpaceDE w:val="0"/>
              <w:autoSpaceDN w:val="0"/>
              <w:adjustRightInd w:val="0"/>
              <w:jc w:val="both"/>
              <w:textAlignment w:val="baseline"/>
            </w:pPr>
          </w:p>
        </w:tc>
      </w:tr>
      <w:tr w:rsidR="00AB7F84" w:rsidTr="00D65AFF">
        <w:tc>
          <w:tcPr>
            <w:tcW w:w="2600" w:type="dxa"/>
          </w:tcPr>
          <w:p w:rsidR="00994B3D" w:rsidRPr="00AB7F84" w:rsidRDefault="00744871" w:rsidP="00AB7F84">
            <w:pPr>
              <w:overflowPunct w:val="0"/>
              <w:autoSpaceDE w:val="0"/>
              <w:autoSpaceDN w:val="0"/>
              <w:adjustRightInd w:val="0"/>
              <w:jc w:val="both"/>
              <w:textAlignment w:val="baseline"/>
              <w:rPr>
                <w:sz w:val="20"/>
                <w:szCs w:val="20"/>
              </w:rPr>
            </w:pPr>
            <w:r w:rsidRPr="00AB7F84">
              <w:rPr>
                <w:sz w:val="20"/>
                <w:szCs w:val="20"/>
              </w:rPr>
              <w:t xml:space="preserve">Выручка от реализации </w:t>
            </w:r>
            <w:r w:rsidR="00321FDA" w:rsidRPr="00AB7F84">
              <w:rPr>
                <w:sz w:val="20"/>
                <w:szCs w:val="20"/>
              </w:rPr>
              <w:t>продукции</w:t>
            </w:r>
            <w:r w:rsidRPr="00AB7F84">
              <w:rPr>
                <w:sz w:val="20"/>
                <w:szCs w:val="20"/>
              </w:rPr>
              <w:t xml:space="preserve"> (работ, услуг), млн. руб.</w:t>
            </w:r>
          </w:p>
        </w:tc>
        <w:tc>
          <w:tcPr>
            <w:tcW w:w="977" w:type="dxa"/>
            <w:vAlign w:val="center"/>
          </w:tcPr>
          <w:p w:rsidR="00994B3D" w:rsidRPr="00AB7F84" w:rsidRDefault="00BF67DE" w:rsidP="00AB7F84">
            <w:pPr>
              <w:overflowPunct w:val="0"/>
              <w:autoSpaceDE w:val="0"/>
              <w:autoSpaceDN w:val="0"/>
              <w:adjustRightInd w:val="0"/>
              <w:jc w:val="center"/>
              <w:textAlignment w:val="baseline"/>
              <w:rPr>
                <w:sz w:val="20"/>
                <w:szCs w:val="20"/>
              </w:rPr>
            </w:pPr>
            <w:r>
              <w:rPr>
                <w:sz w:val="20"/>
                <w:szCs w:val="20"/>
              </w:rPr>
              <w:t>35,5</w:t>
            </w:r>
          </w:p>
        </w:tc>
        <w:tc>
          <w:tcPr>
            <w:tcW w:w="1029" w:type="dxa"/>
            <w:vAlign w:val="center"/>
          </w:tcPr>
          <w:p w:rsidR="00994B3D" w:rsidRPr="00AB7F84" w:rsidRDefault="00BF67DE" w:rsidP="00AB7F84">
            <w:pPr>
              <w:overflowPunct w:val="0"/>
              <w:autoSpaceDE w:val="0"/>
              <w:autoSpaceDN w:val="0"/>
              <w:adjustRightInd w:val="0"/>
              <w:jc w:val="center"/>
              <w:textAlignment w:val="baseline"/>
              <w:rPr>
                <w:sz w:val="20"/>
                <w:szCs w:val="20"/>
              </w:rPr>
            </w:pPr>
            <w:r>
              <w:rPr>
                <w:sz w:val="20"/>
                <w:szCs w:val="20"/>
              </w:rPr>
              <w:t>36,2</w:t>
            </w:r>
          </w:p>
        </w:tc>
        <w:tc>
          <w:tcPr>
            <w:tcW w:w="1235" w:type="dxa"/>
            <w:vAlign w:val="center"/>
          </w:tcPr>
          <w:p w:rsidR="00994B3D" w:rsidRPr="00AB7F84" w:rsidRDefault="00BF67DE" w:rsidP="00AB7F84">
            <w:pPr>
              <w:overflowPunct w:val="0"/>
              <w:autoSpaceDE w:val="0"/>
              <w:autoSpaceDN w:val="0"/>
              <w:adjustRightInd w:val="0"/>
              <w:jc w:val="center"/>
              <w:textAlignment w:val="baseline"/>
              <w:rPr>
                <w:sz w:val="20"/>
                <w:szCs w:val="20"/>
              </w:rPr>
            </w:pPr>
            <w:r>
              <w:rPr>
                <w:sz w:val="20"/>
                <w:szCs w:val="20"/>
              </w:rPr>
              <w:t>36,2</w:t>
            </w:r>
          </w:p>
        </w:tc>
        <w:tc>
          <w:tcPr>
            <w:tcW w:w="1045" w:type="dxa"/>
            <w:vAlign w:val="center"/>
          </w:tcPr>
          <w:p w:rsidR="00994B3D" w:rsidRPr="00AB7F84" w:rsidRDefault="00BF67DE" w:rsidP="00AB7F84">
            <w:pPr>
              <w:overflowPunct w:val="0"/>
              <w:autoSpaceDE w:val="0"/>
              <w:autoSpaceDN w:val="0"/>
              <w:adjustRightInd w:val="0"/>
              <w:jc w:val="center"/>
              <w:textAlignment w:val="baseline"/>
              <w:rPr>
                <w:sz w:val="20"/>
                <w:szCs w:val="20"/>
              </w:rPr>
            </w:pPr>
            <w:r>
              <w:rPr>
                <w:sz w:val="20"/>
                <w:szCs w:val="20"/>
              </w:rPr>
              <w:t>37,4</w:t>
            </w:r>
          </w:p>
        </w:tc>
        <w:tc>
          <w:tcPr>
            <w:tcW w:w="1045" w:type="dxa"/>
            <w:gridSpan w:val="2"/>
            <w:vAlign w:val="center"/>
          </w:tcPr>
          <w:p w:rsidR="00994B3D" w:rsidRPr="00AB7F84" w:rsidRDefault="00BF67DE" w:rsidP="00AB7F84">
            <w:pPr>
              <w:overflowPunct w:val="0"/>
              <w:autoSpaceDE w:val="0"/>
              <w:autoSpaceDN w:val="0"/>
              <w:adjustRightInd w:val="0"/>
              <w:jc w:val="center"/>
              <w:textAlignment w:val="baseline"/>
              <w:rPr>
                <w:sz w:val="20"/>
                <w:szCs w:val="20"/>
              </w:rPr>
            </w:pPr>
            <w:r>
              <w:rPr>
                <w:sz w:val="20"/>
                <w:szCs w:val="20"/>
              </w:rPr>
              <w:t>39,5</w:t>
            </w:r>
          </w:p>
        </w:tc>
        <w:tc>
          <w:tcPr>
            <w:tcW w:w="978" w:type="dxa"/>
            <w:vAlign w:val="center"/>
          </w:tcPr>
          <w:p w:rsidR="00994B3D" w:rsidRPr="00AB7F84" w:rsidRDefault="00BF67DE" w:rsidP="00AB7F84">
            <w:pPr>
              <w:overflowPunct w:val="0"/>
              <w:autoSpaceDE w:val="0"/>
              <w:autoSpaceDN w:val="0"/>
              <w:adjustRightInd w:val="0"/>
              <w:jc w:val="center"/>
              <w:textAlignment w:val="baseline"/>
              <w:rPr>
                <w:sz w:val="20"/>
                <w:szCs w:val="20"/>
              </w:rPr>
            </w:pPr>
            <w:r>
              <w:rPr>
                <w:sz w:val="20"/>
                <w:szCs w:val="20"/>
              </w:rPr>
              <w:t>41</w:t>
            </w:r>
          </w:p>
        </w:tc>
        <w:tc>
          <w:tcPr>
            <w:tcW w:w="945" w:type="dxa"/>
            <w:vAlign w:val="center"/>
          </w:tcPr>
          <w:p w:rsidR="00994B3D" w:rsidRPr="00AB7F84" w:rsidRDefault="00BF67DE" w:rsidP="00AB7F84">
            <w:pPr>
              <w:overflowPunct w:val="0"/>
              <w:autoSpaceDE w:val="0"/>
              <w:autoSpaceDN w:val="0"/>
              <w:adjustRightInd w:val="0"/>
              <w:jc w:val="center"/>
              <w:textAlignment w:val="baseline"/>
              <w:rPr>
                <w:sz w:val="20"/>
                <w:szCs w:val="20"/>
              </w:rPr>
            </w:pPr>
            <w:r>
              <w:rPr>
                <w:sz w:val="20"/>
                <w:szCs w:val="20"/>
              </w:rPr>
              <w:t>42,5</w:t>
            </w:r>
          </w:p>
        </w:tc>
      </w:tr>
      <w:tr w:rsidR="003F7A39" w:rsidTr="00D66444">
        <w:tc>
          <w:tcPr>
            <w:tcW w:w="2600" w:type="dxa"/>
          </w:tcPr>
          <w:p w:rsidR="003F7A39" w:rsidRPr="00AB7F84" w:rsidRDefault="003F7A39" w:rsidP="00AB7F84">
            <w:pPr>
              <w:overflowPunct w:val="0"/>
              <w:autoSpaceDE w:val="0"/>
              <w:autoSpaceDN w:val="0"/>
              <w:adjustRightInd w:val="0"/>
              <w:jc w:val="both"/>
              <w:textAlignment w:val="baseline"/>
              <w:rPr>
                <w:i/>
                <w:sz w:val="20"/>
                <w:szCs w:val="20"/>
              </w:rPr>
            </w:pPr>
            <w:r w:rsidRPr="00AB7F84">
              <w:rPr>
                <w:i/>
                <w:sz w:val="20"/>
                <w:szCs w:val="20"/>
              </w:rPr>
              <w:t xml:space="preserve">Темп роста, </w:t>
            </w:r>
          </w:p>
          <w:p w:rsidR="003F7A39" w:rsidRPr="00AB7F84" w:rsidRDefault="003F7A39" w:rsidP="00AB7F84">
            <w:pPr>
              <w:overflowPunct w:val="0"/>
              <w:autoSpaceDE w:val="0"/>
              <w:autoSpaceDN w:val="0"/>
              <w:adjustRightInd w:val="0"/>
              <w:jc w:val="both"/>
              <w:textAlignment w:val="baseline"/>
              <w:rPr>
                <w:i/>
                <w:sz w:val="20"/>
                <w:szCs w:val="20"/>
              </w:rPr>
            </w:pPr>
            <w:r w:rsidRPr="00AB7F84">
              <w:rPr>
                <w:i/>
                <w:sz w:val="20"/>
                <w:szCs w:val="20"/>
              </w:rPr>
              <w:t>к предыдущему году, %</w:t>
            </w:r>
          </w:p>
        </w:tc>
        <w:tc>
          <w:tcPr>
            <w:tcW w:w="977" w:type="dxa"/>
            <w:vAlign w:val="center"/>
          </w:tcPr>
          <w:p w:rsidR="003F7A39" w:rsidRPr="00AB7F84" w:rsidRDefault="003F7A39" w:rsidP="00AB7F84">
            <w:pPr>
              <w:overflowPunct w:val="0"/>
              <w:autoSpaceDE w:val="0"/>
              <w:autoSpaceDN w:val="0"/>
              <w:adjustRightInd w:val="0"/>
              <w:jc w:val="center"/>
              <w:textAlignment w:val="baseline"/>
              <w:rPr>
                <w:i/>
                <w:sz w:val="20"/>
                <w:szCs w:val="20"/>
              </w:rPr>
            </w:pPr>
            <w:r w:rsidRPr="00AB7F84">
              <w:rPr>
                <w:i/>
                <w:sz w:val="20"/>
                <w:szCs w:val="20"/>
              </w:rPr>
              <w:t>-</w:t>
            </w:r>
          </w:p>
        </w:tc>
        <w:tc>
          <w:tcPr>
            <w:tcW w:w="2264" w:type="dxa"/>
            <w:gridSpan w:val="2"/>
            <w:vAlign w:val="center"/>
          </w:tcPr>
          <w:p w:rsidR="003F7A39" w:rsidRPr="00AB7F84" w:rsidRDefault="003F7A39" w:rsidP="00AB7F84">
            <w:pPr>
              <w:overflowPunct w:val="0"/>
              <w:autoSpaceDE w:val="0"/>
              <w:autoSpaceDN w:val="0"/>
              <w:adjustRightInd w:val="0"/>
              <w:jc w:val="center"/>
              <w:textAlignment w:val="baseline"/>
              <w:rPr>
                <w:i/>
                <w:sz w:val="20"/>
                <w:szCs w:val="20"/>
              </w:rPr>
            </w:pPr>
            <w:r>
              <w:rPr>
                <w:i/>
                <w:sz w:val="20"/>
                <w:szCs w:val="20"/>
              </w:rPr>
              <w:t>102</w:t>
            </w:r>
          </w:p>
        </w:tc>
        <w:tc>
          <w:tcPr>
            <w:tcW w:w="2090" w:type="dxa"/>
            <w:gridSpan w:val="3"/>
            <w:vAlign w:val="center"/>
          </w:tcPr>
          <w:p w:rsidR="003F7A39" w:rsidRPr="00AB7F84" w:rsidRDefault="003F7A39" w:rsidP="00AB7F84">
            <w:pPr>
              <w:overflowPunct w:val="0"/>
              <w:autoSpaceDE w:val="0"/>
              <w:autoSpaceDN w:val="0"/>
              <w:adjustRightInd w:val="0"/>
              <w:jc w:val="center"/>
              <w:textAlignment w:val="baseline"/>
              <w:rPr>
                <w:i/>
                <w:sz w:val="20"/>
                <w:szCs w:val="20"/>
              </w:rPr>
            </w:pPr>
            <w:r>
              <w:rPr>
                <w:i/>
                <w:sz w:val="20"/>
                <w:szCs w:val="20"/>
              </w:rPr>
              <w:t>103,3</w:t>
            </w:r>
          </w:p>
        </w:tc>
        <w:tc>
          <w:tcPr>
            <w:tcW w:w="978" w:type="dxa"/>
            <w:vAlign w:val="center"/>
          </w:tcPr>
          <w:p w:rsidR="003F7A39" w:rsidRPr="00AB7F84" w:rsidRDefault="00EC782F" w:rsidP="00AB7F84">
            <w:pPr>
              <w:overflowPunct w:val="0"/>
              <w:autoSpaceDE w:val="0"/>
              <w:autoSpaceDN w:val="0"/>
              <w:adjustRightInd w:val="0"/>
              <w:jc w:val="center"/>
              <w:textAlignment w:val="baseline"/>
              <w:rPr>
                <w:i/>
                <w:sz w:val="20"/>
                <w:szCs w:val="20"/>
              </w:rPr>
            </w:pPr>
            <w:r>
              <w:rPr>
                <w:i/>
                <w:sz w:val="20"/>
                <w:szCs w:val="20"/>
              </w:rPr>
              <w:t>109,6</w:t>
            </w:r>
          </w:p>
        </w:tc>
        <w:tc>
          <w:tcPr>
            <w:tcW w:w="945" w:type="dxa"/>
            <w:vAlign w:val="center"/>
          </w:tcPr>
          <w:p w:rsidR="003F7A39" w:rsidRPr="00AB7F84" w:rsidRDefault="00EC782F" w:rsidP="00AB7F84">
            <w:pPr>
              <w:overflowPunct w:val="0"/>
              <w:autoSpaceDE w:val="0"/>
              <w:autoSpaceDN w:val="0"/>
              <w:adjustRightInd w:val="0"/>
              <w:jc w:val="center"/>
              <w:textAlignment w:val="baseline"/>
              <w:rPr>
                <w:i/>
                <w:sz w:val="20"/>
                <w:szCs w:val="20"/>
              </w:rPr>
            </w:pPr>
            <w:r>
              <w:rPr>
                <w:i/>
                <w:sz w:val="20"/>
                <w:szCs w:val="20"/>
              </w:rPr>
              <w:t>103,7</w:t>
            </w:r>
          </w:p>
        </w:tc>
      </w:tr>
      <w:tr w:rsidR="00AB7F84" w:rsidTr="00D65AFF">
        <w:tc>
          <w:tcPr>
            <w:tcW w:w="2600" w:type="dxa"/>
          </w:tcPr>
          <w:p w:rsidR="00744871" w:rsidRPr="00AB7F84" w:rsidRDefault="00744871" w:rsidP="00AB7F84">
            <w:pPr>
              <w:overflowPunct w:val="0"/>
              <w:autoSpaceDE w:val="0"/>
              <w:autoSpaceDN w:val="0"/>
              <w:adjustRightInd w:val="0"/>
              <w:jc w:val="both"/>
              <w:textAlignment w:val="baseline"/>
              <w:rPr>
                <w:sz w:val="20"/>
                <w:szCs w:val="20"/>
              </w:rPr>
            </w:pPr>
            <w:r w:rsidRPr="00AB7F84">
              <w:rPr>
                <w:sz w:val="20"/>
                <w:szCs w:val="20"/>
              </w:rPr>
              <w:t>Численность постоянного населения, тыс. чел.</w:t>
            </w:r>
          </w:p>
        </w:tc>
        <w:tc>
          <w:tcPr>
            <w:tcW w:w="977"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0,774</w:t>
            </w:r>
          </w:p>
        </w:tc>
        <w:tc>
          <w:tcPr>
            <w:tcW w:w="1029"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0,774</w:t>
            </w:r>
          </w:p>
        </w:tc>
        <w:tc>
          <w:tcPr>
            <w:tcW w:w="1235"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0,774</w:t>
            </w:r>
          </w:p>
        </w:tc>
        <w:tc>
          <w:tcPr>
            <w:tcW w:w="1045"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0,774</w:t>
            </w:r>
          </w:p>
        </w:tc>
        <w:tc>
          <w:tcPr>
            <w:tcW w:w="1045" w:type="dxa"/>
            <w:gridSpan w:val="2"/>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0,774</w:t>
            </w:r>
          </w:p>
        </w:tc>
        <w:tc>
          <w:tcPr>
            <w:tcW w:w="978"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0,774</w:t>
            </w:r>
          </w:p>
        </w:tc>
        <w:tc>
          <w:tcPr>
            <w:tcW w:w="945" w:type="dxa"/>
            <w:vAlign w:val="center"/>
          </w:tcPr>
          <w:p w:rsidR="00744871" w:rsidRPr="00AB7F84" w:rsidRDefault="00BF67DE" w:rsidP="00BF67DE">
            <w:pPr>
              <w:overflowPunct w:val="0"/>
              <w:autoSpaceDE w:val="0"/>
              <w:autoSpaceDN w:val="0"/>
              <w:adjustRightInd w:val="0"/>
              <w:jc w:val="center"/>
              <w:textAlignment w:val="baseline"/>
              <w:rPr>
                <w:sz w:val="20"/>
                <w:szCs w:val="20"/>
              </w:rPr>
            </w:pPr>
            <w:r>
              <w:rPr>
                <w:sz w:val="20"/>
                <w:szCs w:val="20"/>
              </w:rPr>
              <w:t>0,774</w:t>
            </w:r>
          </w:p>
        </w:tc>
      </w:tr>
      <w:tr w:rsidR="00AB7F84" w:rsidTr="00AB7F84">
        <w:tc>
          <w:tcPr>
            <w:tcW w:w="2600" w:type="dxa"/>
          </w:tcPr>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 xml:space="preserve">Темп роста, </w:t>
            </w:r>
          </w:p>
          <w:p w:rsidR="00BD75B2" w:rsidRPr="00AB7F84" w:rsidRDefault="00BD75B2" w:rsidP="00AB7F84">
            <w:pPr>
              <w:overflowPunct w:val="0"/>
              <w:autoSpaceDE w:val="0"/>
              <w:autoSpaceDN w:val="0"/>
              <w:adjustRightInd w:val="0"/>
              <w:jc w:val="both"/>
              <w:textAlignment w:val="baseline"/>
              <w:rPr>
                <w:i/>
                <w:sz w:val="20"/>
                <w:szCs w:val="20"/>
              </w:rPr>
            </w:pPr>
            <w:r w:rsidRPr="00AB7F84">
              <w:rPr>
                <w:i/>
                <w:sz w:val="20"/>
                <w:szCs w:val="20"/>
              </w:rPr>
              <w:t>к предыдущему году, %</w:t>
            </w:r>
          </w:p>
        </w:tc>
        <w:tc>
          <w:tcPr>
            <w:tcW w:w="977" w:type="dxa"/>
            <w:vAlign w:val="center"/>
          </w:tcPr>
          <w:p w:rsidR="00BD75B2" w:rsidRPr="00AB7F84" w:rsidRDefault="00BD75B2" w:rsidP="00AB7F84">
            <w:pPr>
              <w:overflowPunct w:val="0"/>
              <w:autoSpaceDE w:val="0"/>
              <w:autoSpaceDN w:val="0"/>
              <w:adjustRightInd w:val="0"/>
              <w:jc w:val="center"/>
              <w:textAlignment w:val="baseline"/>
              <w:rPr>
                <w:i/>
                <w:sz w:val="20"/>
                <w:szCs w:val="20"/>
              </w:rPr>
            </w:pPr>
          </w:p>
        </w:tc>
        <w:tc>
          <w:tcPr>
            <w:tcW w:w="2264" w:type="dxa"/>
            <w:gridSpan w:val="2"/>
            <w:vAlign w:val="center"/>
          </w:tcPr>
          <w:p w:rsidR="00BD75B2" w:rsidRPr="00AB7F84" w:rsidRDefault="00EC782F" w:rsidP="00AB7F84">
            <w:pPr>
              <w:overflowPunct w:val="0"/>
              <w:autoSpaceDE w:val="0"/>
              <w:autoSpaceDN w:val="0"/>
              <w:adjustRightInd w:val="0"/>
              <w:jc w:val="center"/>
              <w:textAlignment w:val="baseline"/>
              <w:rPr>
                <w:i/>
                <w:sz w:val="20"/>
                <w:szCs w:val="20"/>
              </w:rPr>
            </w:pPr>
            <w:r>
              <w:rPr>
                <w:i/>
                <w:sz w:val="20"/>
                <w:szCs w:val="20"/>
              </w:rPr>
              <w:t>100</w:t>
            </w:r>
          </w:p>
        </w:tc>
        <w:tc>
          <w:tcPr>
            <w:tcW w:w="2090" w:type="dxa"/>
            <w:gridSpan w:val="3"/>
            <w:vAlign w:val="center"/>
          </w:tcPr>
          <w:p w:rsidR="00BD75B2" w:rsidRPr="00AB7F84" w:rsidRDefault="00EC782F" w:rsidP="00AB7F84">
            <w:pPr>
              <w:overflowPunct w:val="0"/>
              <w:autoSpaceDE w:val="0"/>
              <w:autoSpaceDN w:val="0"/>
              <w:adjustRightInd w:val="0"/>
              <w:jc w:val="center"/>
              <w:textAlignment w:val="baseline"/>
              <w:rPr>
                <w:i/>
                <w:sz w:val="20"/>
                <w:szCs w:val="20"/>
              </w:rPr>
            </w:pPr>
            <w:r>
              <w:rPr>
                <w:i/>
                <w:sz w:val="20"/>
                <w:szCs w:val="20"/>
              </w:rPr>
              <w:t>100</w:t>
            </w:r>
          </w:p>
        </w:tc>
        <w:tc>
          <w:tcPr>
            <w:tcW w:w="978" w:type="dxa"/>
            <w:vAlign w:val="center"/>
          </w:tcPr>
          <w:p w:rsidR="00BD75B2" w:rsidRPr="00AB7F84" w:rsidRDefault="00EC782F" w:rsidP="00AB7F84">
            <w:pPr>
              <w:overflowPunct w:val="0"/>
              <w:autoSpaceDE w:val="0"/>
              <w:autoSpaceDN w:val="0"/>
              <w:adjustRightInd w:val="0"/>
              <w:jc w:val="center"/>
              <w:textAlignment w:val="baseline"/>
              <w:rPr>
                <w:i/>
                <w:sz w:val="20"/>
                <w:szCs w:val="20"/>
              </w:rPr>
            </w:pPr>
            <w:r>
              <w:rPr>
                <w:i/>
                <w:sz w:val="20"/>
                <w:szCs w:val="20"/>
              </w:rPr>
              <w:t>100</w:t>
            </w:r>
          </w:p>
        </w:tc>
        <w:tc>
          <w:tcPr>
            <w:tcW w:w="945" w:type="dxa"/>
            <w:vAlign w:val="center"/>
          </w:tcPr>
          <w:p w:rsidR="00BD75B2" w:rsidRPr="00AB7F84" w:rsidRDefault="00EC782F" w:rsidP="00AB7F84">
            <w:pPr>
              <w:overflowPunct w:val="0"/>
              <w:autoSpaceDE w:val="0"/>
              <w:autoSpaceDN w:val="0"/>
              <w:adjustRightInd w:val="0"/>
              <w:jc w:val="center"/>
              <w:textAlignment w:val="baseline"/>
              <w:rPr>
                <w:i/>
                <w:sz w:val="20"/>
                <w:szCs w:val="20"/>
              </w:rPr>
            </w:pPr>
            <w:r>
              <w:rPr>
                <w:i/>
                <w:sz w:val="20"/>
                <w:szCs w:val="20"/>
              </w:rPr>
              <w:t>100</w:t>
            </w:r>
          </w:p>
        </w:tc>
      </w:tr>
      <w:tr w:rsidR="00AB7F84" w:rsidTr="00AB7F84">
        <w:tc>
          <w:tcPr>
            <w:tcW w:w="2600" w:type="dxa"/>
          </w:tcPr>
          <w:p w:rsidR="00744871" w:rsidRPr="00AB7F84" w:rsidRDefault="00D66362" w:rsidP="00AB7F84">
            <w:pPr>
              <w:overflowPunct w:val="0"/>
              <w:autoSpaceDE w:val="0"/>
              <w:autoSpaceDN w:val="0"/>
              <w:adjustRightInd w:val="0"/>
              <w:jc w:val="both"/>
              <w:textAlignment w:val="baseline"/>
              <w:rPr>
                <w:sz w:val="20"/>
                <w:szCs w:val="20"/>
              </w:rPr>
            </w:pPr>
            <w:r w:rsidRPr="00AB7F84">
              <w:rPr>
                <w:sz w:val="20"/>
                <w:szCs w:val="20"/>
              </w:rPr>
              <w:t>Среднесписочная численность работников по полному кругу организаций, тыс. чел.</w:t>
            </w:r>
          </w:p>
        </w:tc>
        <w:tc>
          <w:tcPr>
            <w:tcW w:w="977"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97</w:t>
            </w:r>
          </w:p>
        </w:tc>
        <w:tc>
          <w:tcPr>
            <w:tcW w:w="1029"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92</w:t>
            </w:r>
          </w:p>
        </w:tc>
        <w:tc>
          <w:tcPr>
            <w:tcW w:w="1235" w:type="dxa"/>
            <w:vAlign w:val="center"/>
          </w:tcPr>
          <w:p w:rsidR="00744871" w:rsidRPr="00AB7F84" w:rsidRDefault="00627C4B" w:rsidP="00AB7F84">
            <w:pPr>
              <w:overflowPunct w:val="0"/>
              <w:autoSpaceDE w:val="0"/>
              <w:autoSpaceDN w:val="0"/>
              <w:adjustRightInd w:val="0"/>
              <w:jc w:val="center"/>
              <w:textAlignment w:val="baseline"/>
              <w:rPr>
                <w:sz w:val="20"/>
                <w:szCs w:val="20"/>
              </w:rPr>
            </w:pPr>
            <w:r>
              <w:rPr>
                <w:sz w:val="20"/>
                <w:szCs w:val="20"/>
              </w:rPr>
              <w:t>92</w:t>
            </w:r>
          </w:p>
        </w:tc>
        <w:tc>
          <w:tcPr>
            <w:tcW w:w="1111" w:type="dxa"/>
            <w:gridSpan w:val="2"/>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92</w:t>
            </w:r>
          </w:p>
        </w:tc>
        <w:tc>
          <w:tcPr>
            <w:tcW w:w="979"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92</w:t>
            </w:r>
          </w:p>
        </w:tc>
        <w:tc>
          <w:tcPr>
            <w:tcW w:w="978"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91</w:t>
            </w:r>
          </w:p>
        </w:tc>
        <w:tc>
          <w:tcPr>
            <w:tcW w:w="945" w:type="dxa"/>
            <w:vAlign w:val="center"/>
          </w:tcPr>
          <w:p w:rsidR="00744871" w:rsidRPr="00AB7F84" w:rsidRDefault="00BF67DE" w:rsidP="00AB7F84">
            <w:pPr>
              <w:overflowPunct w:val="0"/>
              <w:autoSpaceDE w:val="0"/>
              <w:autoSpaceDN w:val="0"/>
              <w:adjustRightInd w:val="0"/>
              <w:jc w:val="center"/>
              <w:textAlignment w:val="baseline"/>
              <w:rPr>
                <w:sz w:val="20"/>
                <w:szCs w:val="20"/>
              </w:rPr>
            </w:pPr>
            <w:r>
              <w:rPr>
                <w:sz w:val="20"/>
                <w:szCs w:val="20"/>
              </w:rPr>
              <w:t>91</w:t>
            </w:r>
          </w:p>
        </w:tc>
      </w:tr>
      <w:tr w:rsidR="00EC782F" w:rsidTr="00D66444">
        <w:tc>
          <w:tcPr>
            <w:tcW w:w="2600" w:type="dxa"/>
          </w:tcPr>
          <w:p w:rsidR="00EC782F" w:rsidRPr="00AB7F84" w:rsidRDefault="00EC782F" w:rsidP="00D66444">
            <w:pPr>
              <w:overflowPunct w:val="0"/>
              <w:autoSpaceDE w:val="0"/>
              <w:autoSpaceDN w:val="0"/>
              <w:adjustRightInd w:val="0"/>
              <w:jc w:val="both"/>
              <w:textAlignment w:val="baseline"/>
              <w:rPr>
                <w:i/>
                <w:sz w:val="20"/>
                <w:szCs w:val="20"/>
              </w:rPr>
            </w:pPr>
            <w:r w:rsidRPr="00AB7F84">
              <w:rPr>
                <w:i/>
                <w:sz w:val="20"/>
                <w:szCs w:val="20"/>
              </w:rPr>
              <w:t xml:space="preserve">Темп роста, </w:t>
            </w:r>
          </w:p>
          <w:p w:rsidR="00EC782F" w:rsidRPr="00AB7F84" w:rsidRDefault="00EC782F" w:rsidP="00D66444">
            <w:pPr>
              <w:overflowPunct w:val="0"/>
              <w:autoSpaceDE w:val="0"/>
              <w:autoSpaceDN w:val="0"/>
              <w:adjustRightInd w:val="0"/>
              <w:jc w:val="both"/>
              <w:textAlignment w:val="baseline"/>
              <w:rPr>
                <w:i/>
                <w:sz w:val="20"/>
                <w:szCs w:val="20"/>
              </w:rPr>
            </w:pPr>
            <w:r w:rsidRPr="00AB7F84">
              <w:rPr>
                <w:i/>
                <w:sz w:val="20"/>
                <w:szCs w:val="20"/>
              </w:rPr>
              <w:t>к предыдущему году, %</w:t>
            </w:r>
          </w:p>
        </w:tc>
        <w:tc>
          <w:tcPr>
            <w:tcW w:w="977" w:type="dxa"/>
            <w:vAlign w:val="center"/>
          </w:tcPr>
          <w:p w:rsidR="00EC782F" w:rsidRPr="00AB7F84" w:rsidRDefault="00EC782F" w:rsidP="00D66444">
            <w:pPr>
              <w:overflowPunct w:val="0"/>
              <w:autoSpaceDE w:val="0"/>
              <w:autoSpaceDN w:val="0"/>
              <w:adjustRightInd w:val="0"/>
              <w:jc w:val="center"/>
              <w:textAlignment w:val="baseline"/>
              <w:rPr>
                <w:i/>
                <w:sz w:val="20"/>
                <w:szCs w:val="20"/>
              </w:rPr>
            </w:pPr>
          </w:p>
        </w:tc>
        <w:tc>
          <w:tcPr>
            <w:tcW w:w="1029" w:type="dxa"/>
            <w:vAlign w:val="center"/>
          </w:tcPr>
          <w:p w:rsidR="00EC782F" w:rsidRPr="00AB7F84" w:rsidRDefault="00EC782F" w:rsidP="00D66444">
            <w:pPr>
              <w:overflowPunct w:val="0"/>
              <w:autoSpaceDE w:val="0"/>
              <w:autoSpaceDN w:val="0"/>
              <w:adjustRightInd w:val="0"/>
              <w:jc w:val="center"/>
              <w:textAlignment w:val="baseline"/>
              <w:rPr>
                <w:i/>
                <w:sz w:val="20"/>
                <w:szCs w:val="20"/>
              </w:rPr>
            </w:pPr>
            <w:r>
              <w:rPr>
                <w:i/>
                <w:sz w:val="20"/>
                <w:szCs w:val="20"/>
              </w:rPr>
              <w:t>94,8</w:t>
            </w:r>
          </w:p>
        </w:tc>
        <w:tc>
          <w:tcPr>
            <w:tcW w:w="1235" w:type="dxa"/>
            <w:vAlign w:val="center"/>
          </w:tcPr>
          <w:p w:rsidR="00EC782F" w:rsidRPr="00AB7F84" w:rsidRDefault="00EC782F" w:rsidP="00D66444">
            <w:pPr>
              <w:overflowPunct w:val="0"/>
              <w:autoSpaceDE w:val="0"/>
              <w:autoSpaceDN w:val="0"/>
              <w:adjustRightInd w:val="0"/>
              <w:jc w:val="center"/>
              <w:textAlignment w:val="baseline"/>
              <w:rPr>
                <w:i/>
                <w:sz w:val="20"/>
                <w:szCs w:val="20"/>
              </w:rPr>
            </w:pPr>
            <w:r>
              <w:rPr>
                <w:i/>
                <w:sz w:val="20"/>
                <w:szCs w:val="20"/>
              </w:rPr>
              <w:t>100</w:t>
            </w:r>
          </w:p>
        </w:tc>
        <w:tc>
          <w:tcPr>
            <w:tcW w:w="2090" w:type="dxa"/>
            <w:gridSpan w:val="3"/>
            <w:vAlign w:val="center"/>
          </w:tcPr>
          <w:p w:rsidR="00EC782F" w:rsidRPr="00AB7F84" w:rsidRDefault="00EC782F" w:rsidP="00D66444">
            <w:pPr>
              <w:overflowPunct w:val="0"/>
              <w:autoSpaceDE w:val="0"/>
              <w:autoSpaceDN w:val="0"/>
              <w:adjustRightInd w:val="0"/>
              <w:jc w:val="center"/>
              <w:textAlignment w:val="baseline"/>
              <w:rPr>
                <w:i/>
                <w:sz w:val="20"/>
                <w:szCs w:val="20"/>
              </w:rPr>
            </w:pPr>
            <w:r>
              <w:rPr>
                <w:i/>
                <w:sz w:val="20"/>
                <w:szCs w:val="20"/>
              </w:rPr>
              <w:t>100</w:t>
            </w:r>
          </w:p>
        </w:tc>
        <w:tc>
          <w:tcPr>
            <w:tcW w:w="978" w:type="dxa"/>
            <w:vAlign w:val="center"/>
          </w:tcPr>
          <w:p w:rsidR="00EC782F" w:rsidRDefault="00EC782F" w:rsidP="00AB7F84">
            <w:pPr>
              <w:overflowPunct w:val="0"/>
              <w:autoSpaceDE w:val="0"/>
              <w:autoSpaceDN w:val="0"/>
              <w:adjustRightInd w:val="0"/>
              <w:jc w:val="center"/>
              <w:textAlignment w:val="baseline"/>
              <w:rPr>
                <w:sz w:val="20"/>
                <w:szCs w:val="20"/>
              </w:rPr>
            </w:pPr>
            <w:r>
              <w:rPr>
                <w:sz w:val="20"/>
                <w:szCs w:val="20"/>
              </w:rPr>
              <w:t>98,9</w:t>
            </w:r>
          </w:p>
        </w:tc>
        <w:tc>
          <w:tcPr>
            <w:tcW w:w="945" w:type="dxa"/>
            <w:vAlign w:val="center"/>
          </w:tcPr>
          <w:p w:rsidR="00EC782F" w:rsidRDefault="00EC782F" w:rsidP="00AB7F84">
            <w:pPr>
              <w:overflowPunct w:val="0"/>
              <w:autoSpaceDE w:val="0"/>
              <w:autoSpaceDN w:val="0"/>
              <w:adjustRightInd w:val="0"/>
              <w:jc w:val="center"/>
              <w:textAlignment w:val="baseline"/>
              <w:rPr>
                <w:sz w:val="20"/>
                <w:szCs w:val="20"/>
              </w:rPr>
            </w:pPr>
            <w:r>
              <w:rPr>
                <w:sz w:val="20"/>
                <w:szCs w:val="20"/>
              </w:rPr>
              <w:t>100</w:t>
            </w:r>
          </w:p>
        </w:tc>
      </w:tr>
      <w:tr w:rsidR="00EC782F" w:rsidTr="00AB7F84">
        <w:tc>
          <w:tcPr>
            <w:tcW w:w="2600" w:type="dxa"/>
          </w:tcPr>
          <w:p w:rsidR="00EC782F" w:rsidRPr="00AB7F84" w:rsidRDefault="00EC782F" w:rsidP="00AB7F84">
            <w:pPr>
              <w:overflowPunct w:val="0"/>
              <w:autoSpaceDE w:val="0"/>
              <w:autoSpaceDN w:val="0"/>
              <w:adjustRightInd w:val="0"/>
              <w:jc w:val="both"/>
              <w:textAlignment w:val="baseline"/>
              <w:rPr>
                <w:sz w:val="20"/>
                <w:szCs w:val="20"/>
              </w:rPr>
            </w:pPr>
            <w:r w:rsidRPr="00AB7F84">
              <w:rPr>
                <w:sz w:val="20"/>
                <w:szCs w:val="20"/>
              </w:rPr>
              <w:t>Фонд заработной платы по полному кругу организаций, млн. руб.</w:t>
            </w:r>
          </w:p>
        </w:tc>
        <w:tc>
          <w:tcPr>
            <w:tcW w:w="977"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29,7</w:t>
            </w:r>
          </w:p>
        </w:tc>
        <w:tc>
          <w:tcPr>
            <w:tcW w:w="1029"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33,1</w:t>
            </w:r>
          </w:p>
        </w:tc>
        <w:tc>
          <w:tcPr>
            <w:tcW w:w="1235"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33,1</w:t>
            </w:r>
          </w:p>
        </w:tc>
        <w:tc>
          <w:tcPr>
            <w:tcW w:w="1111" w:type="dxa"/>
            <w:gridSpan w:val="2"/>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34</w:t>
            </w:r>
          </w:p>
        </w:tc>
        <w:tc>
          <w:tcPr>
            <w:tcW w:w="979"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34</w:t>
            </w:r>
          </w:p>
        </w:tc>
        <w:tc>
          <w:tcPr>
            <w:tcW w:w="978"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35,4</w:t>
            </w:r>
          </w:p>
        </w:tc>
        <w:tc>
          <w:tcPr>
            <w:tcW w:w="945"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36,1</w:t>
            </w:r>
          </w:p>
        </w:tc>
      </w:tr>
      <w:tr w:rsidR="00EC782F" w:rsidTr="00AB7F84">
        <w:tc>
          <w:tcPr>
            <w:tcW w:w="2600" w:type="dxa"/>
          </w:tcPr>
          <w:p w:rsidR="00EC782F" w:rsidRPr="00AB7F84" w:rsidRDefault="00EC782F" w:rsidP="00AB7F84">
            <w:pPr>
              <w:overflowPunct w:val="0"/>
              <w:autoSpaceDE w:val="0"/>
              <w:autoSpaceDN w:val="0"/>
              <w:adjustRightInd w:val="0"/>
              <w:jc w:val="both"/>
              <w:textAlignment w:val="baseline"/>
              <w:rPr>
                <w:sz w:val="20"/>
                <w:szCs w:val="20"/>
              </w:rPr>
            </w:pPr>
            <w:r w:rsidRPr="00AB7F84">
              <w:rPr>
                <w:sz w:val="20"/>
                <w:szCs w:val="20"/>
              </w:rPr>
              <w:t>Среднемесячная начисленная заработная плата (без выплат соц.характера) по полному кругу организаций, руб.</w:t>
            </w:r>
          </w:p>
        </w:tc>
        <w:tc>
          <w:tcPr>
            <w:tcW w:w="977"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22159</w:t>
            </w:r>
          </w:p>
        </w:tc>
        <w:tc>
          <w:tcPr>
            <w:tcW w:w="1029"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26360</w:t>
            </w:r>
          </w:p>
        </w:tc>
        <w:tc>
          <w:tcPr>
            <w:tcW w:w="1235"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26360</w:t>
            </w:r>
          </w:p>
        </w:tc>
        <w:tc>
          <w:tcPr>
            <w:tcW w:w="1111" w:type="dxa"/>
            <w:gridSpan w:val="2"/>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27691</w:t>
            </w:r>
          </w:p>
        </w:tc>
        <w:tc>
          <w:tcPr>
            <w:tcW w:w="979"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28489</w:t>
            </w:r>
          </w:p>
        </w:tc>
        <w:tc>
          <w:tcPr>
            <w:tcW w:w="978"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30302</w:t>
            </w:r>
          </w:p>
        </w:tc>
        <w:tc>
          <w:tcPr>
            <w:tcW w:w="945" w:type="dxa"/>
            <w:vAlign w:val="center"/>
          </w:tcPr>
          <w:p w:rsidR="00EC782F" w:rsidRPr="00AB7F84" w:rsidRDefault="00EC782F" w:rsidP="00AB7F84">
            <w:pPr>
              <w:overflowPunct w:val="0"/>
              <w:autoSpaceDE w:val="0"/>
              <w:autoSpaceDN w:val="0"/>
              <w:adjustRightInd w:val="0"/>
              <w:jc w:val="center"/>
              <w:textAlignment w:val="baseline"/>
              <w:rPr>
                <w:sz w:val="20"/>
                <w:szCs w:val="20"/>
              </w:rPr>
            </w:pPr>
            <w:r>
              <w:rPr>
                <w:sz w:val="20"/>
                <w:szCs w:val="20"/>
              </w:rPr>
              <w:t>31400</w:t>
            </w:r>
          </w:p>
        </w:tc>
      </w:tr>
      <w:tr w:rsidR="00EC782F" w:rsidTr="00AB7F84">
        <w:tc>
          <w:tcPr>
            <w:tcW w:w="2600" w:type="dxa"/>
          </w:tcPr>
          <w:p w:rsidR="00EC782F" w:rsidRPr="00AB7F84" w:rsidRDefault="00EC782F" w:rsidP="00AB7F84">
            <w:pPr>
              <w:overflowPunct w:val="0"/>
              <w:autoSpaceDE w:val="0"/>
              <w:autoSpaceDN w:val="0"/>
              <w:adjustRightInd w:val="0"/>
              <w:jc w:val="both"/>
              <w:textAlignment w:val="baseline"/>
              <w:rPr>
                <w:i/>
                <w:sz w:val="20"/>
                <w:szCs w:val="20"/>
              </w:rPr>
            </w:pPr>
            <w:r w:rsidRPr="00AB7F84">
              <w:rPr>
                <w:i/>
                <w:sz w:val="20"/>
                <w:szCs w:val="20"/>
              </w:rPr>
              <w:t xml:space="preserve">Темп роста, </w:t>
            </w:r>
          </w:p>
          <w:p w:rsidR="00EC782F" w:rsidRPr="00AB7F84" w:rsidRDefault="00EC782F" w:rsidP="00AB7F84">
            <w:pPr>
              <w:overflowPunct w:val="0"/>
              <w:autoSpaceDE w:val="0"/>
              <w:autoSpaceDN w:val="0"/>
              <w:adjustRightInd w:val="0"/>
              <w:jc w:val="both"/>
              <w:textAlignment w:val="baseline"/>
              <w:rPr>
                <w:i/>
                <w:sz w:val="20"/>
                <w:szCs w:val="20"/>
              </w:rPr>
            </w:pPr>
            <w:r w:rsidRPr="00AB7F84">
              <w:rPr>
                <w:i/>
                <w:sz w:val="20"/>
                <w:szCs w:val="20"/>
              </w:rPr>
              <w:t>к предыдущему году, %</w:t>
            </w:r>
          </w:p>
        </w:tc>
        <w:tc>
          <w:tcPr>
            <w:tcW w:w="977" w:type="dxa"/>
            <w:vAlign w:val="center"/>
          </w:tcPr>
          <w:p w:rsidR="00EC782F" w:rsidRPr="00AB7F84" w:rsidRDefault="00EC782F" w:rsidP="00AB7F84">
            <w:pPr>
              <w:overflowPunct w:val="0"/>
              <w:autoSpaceDE w:val="0"/>
              <w:autoSpaceDN w:val="0"/>
              <w:adjustRightInd w:val="0"/>
              <w:jc w:val="center"/>
              <w:textAlignment w:val="baseline"/>
              <w:rPr>
                <w:i/>
                <w:sz w:val="20"/>
                <w:szCs w:val="20"/>
              </w:rPr>
            </w:pPr>
          </w:p>
        </w:tc>
        <w:tc>
          <w:tcPr>
            <w:tcW w:w="2264" w:type="dxa"/>
            <w:gridSpan w:val="2"/>
            <w:vAlign w:val="center"/>
          </w:tcPr>
          <w:p w:rsidR="00EC782F" w:rsidRPr="00AB7F84" w:rsidRDefault="00EC782F" w:rsidP="00AB7F84">
            <w:pPr>
              <w:overflowPunct w:val="0"/>
              <w:autoSpaceDE w:val="0"/>
              <w:autoSpaceDN w:val="0"/>
              <w:adjustRightInd w:val="0"/>
              <w:jc w:val="center"/>
              <w:textAlignment w:val="baseline"/>
              <w:rPr>
                <w:i/>
                <w:sz w:val="20"/>
                <w:szCs w:val="20"/>
              </w:rPr>
            </w:pPr>
            <w:r>
              <w:rPr>
                <w:i/>
                <w:sz w:val="20"/>
                <w:szCs w:val="20"/>
              </w:rPr>
              <w:t>119</w:t>
            </w:r>
          </w:p>
        </w:tc>
        <w:tc>
          <w:tcPr>
            <w:tcW w:w="2090" w:type="dxa"/>
            <w:gridSpan w:val="3"/>
            <w:vAlign w:val="center"/>
          </w:tcPr>
          <w:p w:rsidR="00EC782F" w:rsidRPr="00AB7F84" w:rsidRDefault="00EC782F" w:rsidP="00AB7F84">
            <w:pPr>
              <w:overflowPunct w:val="0"/>
              <w:autoSpaceDE w:val="0"/>
              <w:autoSpaceDN w:val="0"/>
              <w:adjustRightInd w:val="0"/>
              <w:jc w:val="center"/>
              <w:textAlignment w:val="baseline"/>
              <w:rPr>
                <w:i/>
                <w:sz w:val="20"/>
                <w:szCs w:val="20"/>
              </w:rPr>
            </w:pPr>
            <w:r>
              <w:rPr>
                <w:i/>
                <w:sz w:val="20"/>
                <w:szCs w:val="20"/>
              </w:rPr>
              <w:t>105</w:t>
            </w:r>
          </w:p>
        </w:tc>
        <w:tc>
          <w:tcPr>
            <w:tcW w:w="978" w:type="dxa"/>
            <w:vAlign w:val="center"/>
          </w:tcPr>
          <w:p w:rsidR="00EC782F" w:rsidRPr="00AB7F84" w:rsidRDefault="00EC782F" w:rsidP="00AB7F84">
            <w:pPr>
              <w:overflowPunct w:val="0"/>
              <w:autoSpaceDE w:val="0"/>
              <w:autoSpaceDN w:val="0"/>
              <w:adjustRightInd w:val="0"/>
              <w:jc w:val="center"/>
              <w:textAlignment w:val="baseline"/>
              <w:rPr>
                <w:i/>
                <w:sz w:val="20"/>
                <w:szCs w:val="20"/>
              </w:rPr>
            </w:pPr>
            <w:r>
              <w:rPr>
                <w:i/>
                <w:sz w:val="20"/>
                <w:szCs w:val="20"/>
              </w:rPr>
              <w:t>109,4</w:t>
            </w:r>
          </w:p>
        </w:tc>
        <w:tc>
          <w:tcPr>
            <w:tcW w:w="945" w:type="dxa"/>
            <w:vAlign w:val="center"/>
          </w:tcPr>
          <w:p w:rsidR="00EC782F" w:rsidRPr="00AB7F84" w:rsidRDefault="00EC782F" w:rsidP="00AB7F84">
            <w:pPr>
              <w:overflowPunct w:val="0"/>
              <w:autoSpaceDE w:val="0"/>
              <w:autoSpaceDN w:val="0"/>
              <w:adjustRightInd w:val="0"/>
              <w:jc w:val="center"/>
              <w:textAlignment w:val="baseline"/>
              <w:rPr>
                <w:i/>
                <w:sz w:val="20"/>
                <w:szCs w:val="20"/>
              </w:rPr>
            </w:pPr>
            <w:r>
              <w:rPr>
                <w:i/>
                <w:sz w:val="20"/>
                <w:szCs w:val="20"/>
              </w:rPr>
              <w:t>103,6</w:t>
            </w:r>
          </w:p>
        </w:tc>
      </w:tr>
    </w:tbl>
    <w:p w:rsidR="00994B3D" w:rsidRDefault="00994B3D" w:rsidP="00D61F1F">
      <w:pPr>
        <w:ind w:firstLine="567"/>
        <w:jc w:val="both"/>
      </w:pPr>
    </w:p>
    <w:p w:rsidR="003B54E8" w:rsidRDefault="00321FDA" w:rsidP="00D61F1F">
      <w:pPr>
        <w:ind w:firstLine="567"/>
        <w:jc w:val="both"/>
      </w:pPr>
      <w:r>
        <w:t xml:space="preserve">Согласно показателей </w:t>
      </w:r>
      <w:r w:rsidR="003B54E8">
        <w:t xml:space="preserve">Прогноза, отраженных в </w:t>
      </w:r>
      <w:r>
        <w:t>таблиц</w:t>
      </w:r>
      <w:r w:rsidR="003B54E8">
        <w:t>е,</w:t>
      </w:r>
      <w:r>
        <w:t xml:space="preserve"> п</w:t>
      </w:r>
      <w:r w:rsidR="00D61F1F">
        <w:t>рогнозируется</w:t>
      </w:r>
      <w:r w:rsidR="003B54E8">
        <w:t>:</w:t>
      </w:r>
    </w:p>
    <w:p w:rsidR="00D61F1F" w:rsidRDefault="003B54E8" w:rsidP="00D61F1F">
      <w:pPr>
        <w:ind w:firstLine="567"/>
        <w:jc w:val="both"/>
      </w:pPr>
      <w:r>
        <w:t>-</w:t>
      </w:r>
      <w:r w:rsidR="00D61F1F">
        <w:t xml:space="preserve"> рост выручки от реализации продукции, работ, услуг (в действующих ценах) по полному кругу организаций в 202</w:t>
      </w:r>
      <w:r w:rsidR="00321FDA">
        <w:t>1</w:t>
      </w:r>
      <w:r w:rsidR="00D61F1F">
        <w:t xml:space="preserve"> году (+</w:t>
      </w:r>
      <w:r w:rsidR="00EC782F">
        <w:t>3,3</w:t>
      </w:r>
      <w:r w:rsidR="00D61F1F">
        <w:t>% к оценке 20</w:t>
      </w:r>
      <w:r w:rsidR="00DE7370">
        <w:t>20</w:t>
      </w:r>
      <w:r w:rsidR="00D61F1F">
        <w:t xml:space="preserve"> года), в 202</w:t>
      </w:r>
      <w:r w:rsidR="00DE7370">
        <w:t>2</w:t>
      </w:r>
      <w:r w:rsidR="00D61F1F">
        <w:t xml:space="preserve"> году (+</w:t>
      </w:r>
      <w:r w:rsidR="00EC782F">
        <w:t>9,6</w:t>
      </w:r>
      <w:r w:rsidR="00D61F1F">
        <w:t>% к 202</w:t>
      </w:r>
      <w:r w:rsidR="00DE7370">
        <w:t>1</w:t>
      </w:r>
      <w:r w:rsidR="00D61F1F">
        <w:t xml:space="preserve"> г.), в 202</w:t>
      </w:r>
      <w:r w:rsidR="00DE7370">
        <w:t>3</w:t>
      </w:r>
      <w:r w:rsidR="00D61F1F">
        <w:t xml:space="preserve"> году (+</w:t>
      </w:r>
      <w:r w:rsidR="00DE7370">
        <w:t>3</w:t>
      </w:r>
      <w:r w:rsidR="00D61F1F">
        <w:t>,</w:t>
      </w:r>
      <w:r w:rsidR="00EC782F">
        <w:t>7</w:t>
      </w:r>
      <w:r w:rsidR="00D61F1F">
        <w:t>% к 202</w:t>
      </w:r>
      <w:r w:rsidR="00DE7370">
        <w:t>2</w:t>
      </w:r>
      <w:r w:rsidR="00D61F1F">
        <w:t xml:space="preserve"> г.);</w:t>
      </w:r>
    </w:p>
    <w:p w:rsidR="00D61F1F" w:rsidRDefault="00D61F1F" w:rsidP="00D61F1F">
      <w:pPr>
        <w:ind w:firstLine="567"/>
        <w:jc w:val="both"/>
      </w:pPr>
      <w:r>
        <w:t>- рост</w:t>
      </w:r>
      <w:r w:rsidR="00EC782F">
        <w:t>а/убыли</w:t>
      </w:r>
      <w:r>
        <w:t xml:space="preserve"> численности постоянного населения в 202</w:t>
      </w:r>
      <w:r w:rsidR="00DE7370">
        <w:t>1</w:t>
      </w:r>
      <w:r w:rsidR="00EC782F">
        <w:t>-2023</w:t>
      </w:r>
      <w:r>
        <w:t xml:space="preserve"> </w:t>
      </w:r>
      <w:r w:rsidR="00EC782F">
        <w:t>гг. не прогнозируется</w:t>
      </w:r>
      <w:r>
        <w:t>;</w:t>
      </w:r>
    </w:p>
    <w:p w:rsidR="002F33D7" w:rsidRDefault="002F33D7" w:rsidP="00D61F1F">
      <w:pPr>
        <w:ind w:firstLine="567"/>
        <w:jc w:val="both"/>
      </w:pPr>
      <w:r>
        <w:t xml:space="preserve">- снижение </w:t>
      </w:r>
      <w:r w:rsidRPr="002F33D7">
        <w:t>среднесписочной численности работников по полному кругу организаций</w:t>
      </w:r>
      <w:r>
        <w:t xml:space="preserve"> в 2020г. на 5,2% к 2019г., в 2022г. на 1,1% к 2021г.</w:t>
      </w:r>
    </w:p>
    <w:p w:rsidR="00D61F1F" w:rsidRDefault="00D61F1F" w:rsidP="00D61F1F">
      <w:pPr>
        <w:ind w:firstLine="567"/>
        <w:jc w:val="both"/>
      </w:pPr>
      <w:r>
        <w:t xml:space="preserve">- рост среднемесячной начисленной заработной платы (без выплат социального характера) по полному кругу организаций </w:t>
      </w:r>
      <w:r w:rsidR="002F33D7">
        <w:t xml:space="preserve">в 2020 году (+19% к факту 2019 года), </w:t>
      </w:r>
      <w:r>
        <w:t>в 202</w:t>
      </w:r>
      <w:r w:rsidR="004A4346">
        <w:t>1</w:t>
      </w:r>
      <w:r>
        <w:t xml:space="preserve"> году (+</w:t>
      </w:r>
      <w:r w:rsidR="002F33D7">
        <w:t>5</w:t>
      </w:r>
      <w:r>
        <w:t>% к оценке 20</w:t>
      </w:r>
      <w:r w:rsidR="004A4346">
        <w:t>20</w:t>
      </w:r>
      <w:r>
        <w:t xml:space="preserve"> года), в 202</w:t>
      </w:r>
      <w:r w:rsidR="004A4346">
        <w:t>2</w:t>
      </w:r>
      <w:r>
        <w:t xml:space="preserve"> году (+</w:t>
      </w:r>
      <w:r w:rsidR="002F33D7">
        <w:t>9,4</w:t>
      </w:r>
      <w:r>
        <w:t>% к 202</w:t>
      </w:r>
      <w:r w:rsidR="004A4346">
        <w:t>1</w:t>
      </w:r>
      <w:r>
        <w:t xml:space="preserve"> г.), в 202</w:t>
      </w:r>
      <w:r w:rsidR="004A4346">
        <w:t>3</w:t>
      </w:r>
      <w:r>
        <w:t xml:space="preserve"> году (+</w:t>
      </w:r>
      <w:r w:rsidR="002F33D7">
        <w:t>3,6</w:t>
      </w:r>
      <w:r>
        <w:t>% к 202</w:t>
      </w:r>
      <w:r w:rsidR="004A4346">
        <w:t>2</w:t>
      </w:r>
      <w:r>
        <w:t xml:space="preserve"> г.)</w:t>
      </w:r>
      <w:r w:rsidR="00C02FBF">
        <w:t>.</w:t>
      </w:r>
    </w:p>
    <w:p w:rsidR="00D65AFF" w:rsidRDefault="00D65AFF" w:rsidP="00D65AFF">
      <w:pPr>
        <w:ind w:firstLine="567"/>
        <w:jc w:val="both"/>
      </w:pPr>
      <w:r w:rsidRPr="005F4025">
        <w:t xml:space="preserve">Однако вызывает сомнение такой показатель как </w:t>
      </w:r>
      <w:r w:rsidRPr="005F4025">
        <w:rPr>
          <w:b/>
        </w:rPr>
        <w:t>«</w:t>
      </w:r>
      <w:r w:rsidRPr="005F4025">
        <w:rPr>
          <w:b/>
          <w:i/>
        </w:rPr>
        <w:t xml:space="preserve">фонд заработной платы по полному кругу организаций». </w:t>
      </w:r>
      <w:r w:rsidRPr="005F4025">
        <w:t xml:space="preserve">Так, при арифметическом подсчете фонд начисленной заработной платы по оценке 2020 года составит </w:t>
      </w:r>
      <w:r w:rsidRPr="005F4025">
        <w:rPr>
          <w:b/>
        </w:rPr>
        <w:t>29</w:t>
      </w:r>
      <w:r w:rsidR="002F33D7">
        <w:rPr>
          <w:b/>
        </w:rPr>
        <w:t>,</w:t>
      </w:r>
      <w:r w:rsidRPr="005F4025">
        <w:rPr>
          <w:b/>
        </w:rPr>
        <w:t xml:space="preserve">1 </w:t>
      </w:r>
      <w:r w:rsidR="002F33D7">
        <w:rPr>
          <w:b/>
        </w:rPr>
        <w:t>млн</w:t>
      </w:r>
      <w:r w:rsidRPr="005F4025">
        <w:rPr>
          <w:b/>
        </w:rPr>
        <w:t xml:space="preserve">. руб. </w:t>
      </w:r>
      <w:r w:rsidRPr="005F4025">
        <w:t>(</w:t>
      </w:r>
      <w:r w:rsidR="002F33D7">
        <w:t>92</w:t>
      </w:r>
      <w:r w:rsidRPr="005F4025">
        <w:t xml:space="preserve"> чел.* </w:t>
      </w:r>
      <w:r w:rsidR="002F33D7">
        <w:t>26360</w:t>
      </w:r>
      <w:r w:rsidRPr="005F4025">
        <w:t xml:space="preserve"> руб.*12 мес.),</w:t>
      </w:r>
      <w:r w:rsidRPr="005F4025">
        <w:rPr>
          <w:b/>
        </w:rPr>
        <w:t xml:space="preserve"> а в строке отражен показатель </w:t>
      </w:r>
      <w:r w:rsidR="002F33D7">
        <w:rPr>
          <w:b/>
        </w:rPr>
        <w:t>33,1</w:t>
      </w:r>
      <w:r w:rsidRPr="005F4025">
        <w:rPr>
          <w:b/>
        </w:rPr>
        <w:t xml:space="preserve"> </w:t>
      </w:r>
      <w:r w:rsidR="002F33D7">
        <w:rPr>
          <w:b/>
        </w:rPr>
        <w:t>млн</w:t>
      </w:r>
      <w:r w:rsidRPr="005F4025">
        <w:rPr>
          <w:b/>
        </w:rPr>
        <w:t>. руб.</w:t>
      </w:r>
      <w:r w:rsidRPr="00C27AF6">
        <w:rPr>
          <w:b/>
          <w:color w:val="FF0000"/>
        </w:rPr>
        <w:t xml:space="preserve"> </w:t>
      </w:r>
      <w:r w:rsidRPr="005F4025">
        <w:rPr>
          <w:b/>
        </w:rPr>
        <w:t>(?).</w:t>
      </w:r>
      <w:r w:rsidRPr="00C27AF6">
        <w:rPr>
          <w:b/>
          <w:color w:val="FF0000"/>
        </w:rPr>
        <w:t xml:space="preserve"> </w:t>
      </w:r>
      <w:r w:rsidRPr="0034697E">
        <w:t xml:space="preserve">Аналогично и на 2021-2023гг., при арифметическом подсчете фонд заработной платы составит на 2021г. </w:t>
      </w:r>
      <w:r w:rsidR="00991D29">
        <w:t>–</w:t>
      </w:r>
      <w:r w:rsidRPr="0034697E">
        <w:t xml:space="preserve"> </w:t>
      </w:r>
      <w:r w:rsidR="00991D29">
        <w:t>30,6</w:t>
      </w:r>
      <w:r w:rsidRPr="0034697E">
        <w:t xml:space="preserve"> </w:t>
      </w:r>
      <w:r w:rsidR="00991D29">
        <w:t>млн</w:t>
      </w:r>
      <w:r w:rsidRPr="0034697E">
        <w:t xml:space="preserve">. руб., на 2022г. – </w:t>
      </w:r>
      <w:r w:rsidR="00991D29">
        <w:t>33,1</w:t>
      </w:r>
      <w:r w:rsidRPr="0034697E">
        <w:t xml:space="preserve"> </w:t>
      </w:r>
      <w:r w:rsidR="00991D29">
        <w:t>млн</w:t>
      </w:r>
      <w:r w:rsidRPr="0034697E">
        <w:t xml:space="preserve">. руб., на 2023г. – </w:t>
      </w:r>
      <w:r w:rsidR="00991D29">
        <w:t>34,3</w:t>
      </w:r>
      <w:r w:rsidRPr="0034697E">
        <w:t xml:space="preserve"> </w:t>
      </w:r>
      <w:r w:rsidR="00991D29">
        <w:t>млн</w:t>
      </w:r>
      <w:r w:rsidRPr="0034697E">
        <w:t xml:space="preserve">. руб., а в Прогнозе фонд заработной платы отражен на 2021-2023 года в сумме </w:t>
      </w:r>
      <w:r w:rsidR="00991D29">
        <w:t>34</w:t>
      </w:r>
      <w:r w:rsidRPr="0034697E">
        <w:t xml:space="preserve"> </w:t>
      </w:r>
      <w:r w:rsidR="00991D29">
        <w:t>млн</w:t>
      </w:r>
      <w:r w:rsidRPr="0034697E">
        <w:t xml:space="preserve">. руб., </w:t>
      </w:r>
      <w:r w:rsidR="00991D29">
        <w:t>35,4</w:t>
      </w:r>
      <w:r w:rsidRPr="0034697E">
        <w:t xml:space="preserve"> </w:t>
      </w:r>
      <w:r w:rsidR="00991D29">
        <w:t>млн</w:t>
      </w:r>
      <w:r w:rsidRPr="0034697E">
        <w:t xml:space="preserve">. руб., </w:t>
      </w:r>
      <w:r w:rsidR="00991D29">
        <w:t>36,1</w:t>
      </w:r>
      <w:r w:rsidRPr="0034697E">
        <w:t xml:space="preserve"> </w:t>
      </w:r>
      <w:r w:rsidR="00991D29">
        <w:t>млн</w:t>
      </w:r>
      <w:r w:rsidRPr="0034697E">
        <w:t>. руб. соответственно.</w:t>
      </w:r>
    </w:p>
    <w:p w:rsidR="00906E02" w:rsidRPr="00906E02" w:rsidRDefault="00906E02" w:rsidP="00906E02">
      <w:pPr>
        <w:widowControl w:val="0"/>
        <w:numPr>
          <w:ilvl w:val="12"/>
          <w:numId w:val="0"/>
        </w:numPr>
        <w:ind w:firstLine="567"/>
        <w:jc w:val="both"/>
        <w:rPr>
          <w:rFonts w:eastAsia="TimesNewRomanPSMT"/>
          <w:b/>
          <w:color w:val="000000"/>
        </w:rPr>
      </w:pPr>
      <w:r w:rsidRPr="00906E02">
        <w:rPr>
          <w:rFonts w:eastAsia="TimesNewRomanPSMT"/>
          <w:b/>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Бюджетного кодекса РФ.</w:t>
      </w:r>
    </w:p>
    <w:p w:rsidR="008E4488" w:rsidRPr="00906E02" w:rsidRDefault="001861EF" w:rsidP="00D65AFF">
      <w:pPr>
        <w:ind w:firstLine="567"/>
        <w:jc w:val="both"/>
        <w:rPr>
          <w:rFonts w:eastAsia="TimesNewRomanPSMT"/>
          <w:i/>
          <w:color w:val="000000"/>
        </w:rPr>
      </w:pPr>
      <w:r w:rsidRPr="00906E02">
        <w:rPr>
          <w:i/>
        </w:rPr>
        <w:t xml:space="preserve">КСК района отмечает, что показатели прогноза </w:t>
      </w:r>
      <w:r w:rsidRPr="00906E02">
        <w:rPr>
          <w:rFonts w:eastAsia="TimesNewRomanPSMT"/>
          <w:i/>
          <w:color w:val="000000"/>
        </w:rPr>
        <w:t>социально-экономического развития Знаменского сельского поселения на 2021-2023гг. по объему налогов, формируемых на территории поселения (доходный потенциал) не соответствуют (значительно различаются) показателям проекта бюджета на 2021-2023гг., предлагаемым к утверждению. Например</w:t>
      </w:r>
      <w:r w:rsidR="008E4488" w:rsidRPr="00906E02">
        <w:rPr>
          <w:rFonts w:eastAsia="TimesNewRomanPSMT"/>
          <w:i/>
          <w:color w:val="000000"/>
        </w:rPr>
        <w:t>:</w:t>
      </w:r>
    </w:p>
    <w:p w:rsidR="001861EF" w:rsidRPr="00906E02" w:rsidRDefault="008E4488" w:rsidP="00D65AFF">
      <w:pPr>
        <w:ind w:firstLine="567"/>
        <w:jc w:val="both"/>
        <w:rPr>
          <w:rFonts w:eastAsia="TimesNewRomanPSMT"/>
          <w:i/>
          <w:color w:val="000000"/>
        </w:rPr>
      </w:pPr>
      <w:r w:rsidRPr="00906E02">
        <w:rPr>
          <w:rFonts w:eastAsia="TimesNewRomanPSMT"/>
          <w:i/>
          <w:color w:val="000000"/>
        </w:rPr>
        <w:t>-</w:t>
      </w:r>
      <w:r w:rsidR="001861EF" w:rsidRPr="00906E02">
        <w:rPr>
          <w:rFonts w:eastAsia="TimesNewRomanPSMT"/>
          <w:i/>
          <w:color w:val="000000"/>
        </w:rPr>
        <w:t xml:space="preserve"> по Прогнозу поступление НДФЛ в 2021г. – 312 тыс. руб., по Проекту </w:t>
      </w:r>
      <w:r w:rsidRPr="00906E02">
        <w:rPr>
          <w:rFonts w:eastAsia="TimesNewRomanPSMT"/>
          <w:i/>
          <w:color w:val="000000"/>
        </w:rPr>
        <w:t xml:space="preserve">бюджета </w:t>
      </w:r>
      <w:r w:rsidR="001861EF" w:rsidRPr="00906E02">
        <w:rPr>
          <w:rFonts w:eastAsia="TimesNewRomanPSMT"/>
          <w:i/>
          <w:color w:val="000000"/>
        </w:rPr>
        <w:t>– 315 тыс. руб.</w:t>
      </w:r>
      <w:r w:rsidR="00AE5973" w:rsidRPr="00906E02">
        <w:rPr>
          <w:rFonts w:eastAsia="TimesNewRomanPSMT"/>
          <w:i/>
          <w:color w:val="000000"/>
        </w:rPr>
        <w:t xml:space="preserve"> (расхождение – 3 тыс. руб.)</w:t>
      </w:r>
      <w:r w:rsidR="001861EF" w:rsidRPr="00906E02">
        <w:rPr>
          <w:rFonts w:eastAsia="TimesNewRomanPSMT"/>
          <w:i/>
          <w:color w:val="000000"/>
        </w:rPr>
        <w:t xml:space="preserve">, в 2023г. – 300 тыс. руб. </w:t>
      </w:r>
      <w:r w:rsidRPr="00906E02">
        <w:rPr>
          <w:rFonts w:eastAsia="TimesNewRomanPSMT"/>
          <w:i/>
          <w:color w:val="000000"/>
        </w:rPr>
        <w:t>(Прогноз) и 330 тыс. руб. (Проект бюджета),</w:t>
      </w:r>
      <w:r w:rsidR="00AE5973" w:rsidRPr="00906E02">
        <w:rPr>
          <w:rFonts w:eastAsia="TimesNewRomanPSMT"/>
          <w:i/>
          <w:color w:val="000000"/>
        </w:rPr>
        <w:t xml:space="preserve"> расхождение – 30 тыс. руб.,</w:t>
      </w:r>
    </w:p>
    <w:p w:rsidR="008E4488" w:rsidRPr="00906E02" w:rsidRDefault="008E4488" w:rsidP="00D65AFF">
      <w:pPr>
        <w:ind w:firstLine="567"/>
        <w:jc w:val="both"/>
        <w:rPr>
          <w:rFonts w:eastAsia="TimesNewRomanPSMT"/>
          <w:i/>
          <w:color w:val="000000"/>
        </w:rPr>
      </w:pPr>
      <w:r w:rsidRPr="00906E02">
        <w:rPr>
          <w:rFonts w:eastAsia="TimesNewRomanPSMT"/>
          <w:i/>
          <w:color w:val="000000"/>
        </w:rPr>
        <w:t>- по Прогнозу поступление налогов на имущество в 2021г. – 285 тыс. руб., по Проекту бюджета – 304 тыс. руб.</w:t>
      </w:r>
      <w:r w:rsidR="00AE5973" w:rsidRPr="00906E02">
        <w:rPr>
          <w:rFonts w:eastAsia="TimesNewRomanPSMT"/>
          <w:i/>
          <w:color w:val="000000"/>
        </w:rPr>
        <w:t xml:space="preserve"> (расхождение – 19 тыс. руб.)</w:t>
      </w:r>
      <w:r w:rsidRPr="00906E02">
        <w:rPr>
          <w:rFonts w:eastAsia="TimesNewRomanPSMT"/>
          <w:i/>
          <w:color w:val="000000"/>
        </w:rPr>
        <w:t>, в 2022г. – 297 тыс. руб. (Прогноз) и 314 тыс. руб. (Проект бюджета), в 2023г. – 309 тыс. руб. (Прогноз) и 314 тыс. руб. (Проект бюджета).</w:t>
      </w:r>
    </w:p>
    <w:p w:rsidR="00D61F1F" w:rsidRPr="002D68C0" w:rsidRDefault="00A112AF" w:rsidP="00D61F1F">
      <w:pPr>
        <w:autoSpaceDE w:val="0"/>
        <w:autoSpaceDN w:val="0"/>
        <w:adjustRightInd w:val="0"/>
        <w:ind w:firstLine="720"/>
        <w:jc w:val="both"/>
      </w:pPr>
      <w:r>
        <w:t>4</w:t>
      </w:r>
      <w:r w:rsidR="00D61F1F" w:rsidRPr="002D68C0">
        <w:t xml:space="preserve">. </w:t>
      </w:r>
      <w:r w:rsidR="00D61F1F" w:rsidRPr="00702EA9">
        <w:rPr>
          <w:u w:val="single"/>
        </w:rPr>
        <w:t>Пояснительная записка к проекту бюджета</w:t>
      </w:r>
      <w:r w:rsidR="00D61F1F" w:rsidRPr="002D68C0">
        <w:t>.</w:t>
      </w:r>
    </w:p>
    <w:p w:rsidR="00D61F1F" w:rsidRDefault="00A112AF" w:rsidP="00D61F1F">
      <w:pPr>
        <w:autoSpaceDE w:val="0"/>
        <w:autoSpaceDN w:val="0"/>
        <w:adjustRightInd w:val="0"/>
        <w:ind w:firstLine="720"/>
        <w:jc w:val="both"/>
      </w:pPr>
      <w:r>
        <w:t>5</w:t>
      </w:r>
      <w:r w:rsidR="00D61F1F" w:rsidRPr="002D68C0">
        <w:t xml:space="preserve">. </w:t>
      </w:r>
      <w:r w:rsidR="00D61F1F" w:rsidRPr="00702EA9">
        <w:rPr>
          <w:u w:val="single"/>
        </w:rPr>
        <w:t xml:space="preserve">Оценка ожидаемого исполнения бюджета </w:t>
      </w:r>
      <w:r w:rsidR="007723FC">
        <w:rPr>
          <w:u w:val="single"/>
        </w:rPr>
        <w:t>в 2020</w:t>
      </w:r>
      <w:r w:rsidR="00D61F1F" w:rsidRPr="00702EA9">
        <w:rPr>
          <w:u w:val="single"/>
        </w:rPr>
        <w:t xml:space="preserve"> год</w:t>
      </w:r>
      <w:r w:rsidR="007723FC">
        <w:rPr>
          <w:u w:val="single"/>
        </w:rPr>
        <w:t>у</w:t>
      </w:r>
      <w:r w:rsidR="00D61F1F" w:rsidRPr="002D68C0">
        <w:t>.</w:t>
      </w:r>
    </w:p>
    <w:p w:rsidR="00C052D7" w:rsidRPr="00C052D7" w:rsidRDefault="00C052D7" w:rsidP="00D61F1F">
      <w:pPr>
        <w:autoSpaceDE w:val="0"/>
        <w:autoSpaceDN w:val="0"/>
        <w:adjustRightInd w:val="0"/>
        <w:ind w:firstLine="720"/>
        <w:jc w:val="both"/>
        <w:rPr>
          <w:i/>
        </w:rPr>
      </w:pPr>
      <w:r w:rsidRPr="00C052D7">
        <w:rPr>
          <w:i/>
        </w:rPr>
        <w:t xml:space="preserve">КСК района отмечает, что </w:t>
      </w:r>
      <w:r>
        <w:rPr>
          <w:i/>
        </w:rPr>
        <w:t xml:space="preserve">представленные </w:t>
      </w:r>
      <w:r w:rsidRPr="00C052D7">
        <w:rPr>
          <w:i/>
        </w:rPr>
        <w:t>показатели ожидаемой оценки исполнения бюджета Знаменского поселения в 2020 году по доходам не корректны</w:t>
      </w:r>
      <w:r>
        <w:rPr>
          <w:i/>
        </w:rPr>
        <w:t xml:space="preserve"> (расхождение составило 9006,8 тыс. руб.)</w:t>
      </w:r>
      <w:r w:rsidRPr="00C052D7">
        <w:rPr>
          <w:i/>
        </w:rPr>
        <w:t>, например:</w:t>
      </w:r>
    </w:p>
    <w:p w:rsidR="00C052D7" w:rsidRPr="00C052D7" w:rsidRDefault="00C052D7" w:rsidP="00D61F1F">
      <w:pPr>
        <w:autoSpaceDE w:val="0"/>
        <w:autoSpaceDN w:val="0"/>
        <w:adjustRightInd w:val="0"/>
        <w:ind w:firstLine="720"/>
        <w:jc w:val="both"/>
        <w:rPr>
          <w:i/>
        </w:rPr>
      </w:pPr>
      <w:r w:rsidRPr="00C052D7">
        <w:rPr>
          <w:i/>
        </w:rPr>
        <w:t xml:space="preserve">- по налоговым и неналоговым доходам отражен показатель – 10836,4 тыс. руб. (фактически – 1064,8 тыс. руб.), </w:t>
      </w:r>
    </w:p>
    <w:p w:rsidR="00C052D7" w:rsidRPr="00C052D7" w:rsidRDefault="00C052D7" w:rsidP="00D61F1F">
      <w:pPr>
        <w:autoSpaceDE w:val="0"/>
        <w:autoSpaceDN w:val="0"/>
        <w:adjustRightInd w:val="0"/>
        <w:ind w:firstLine="720"/>
        <w:jc w:val="both"/>
        <w:rPr>
          <w:i/>
        </w:rPr>
      </w:pPr>
      <w:r w:rsidRPr="00C052D7">
        <w:rPr>
          <w:i/>
        </w:rPr>
        <w:t>- по дотации отражен показатель – 192,7 тыс. руб., без учета дотации из районного бюджета в сумме 5867,5 тыс. руб. (фактически – 6060,2 тыс. руб.),</w:t>
      </w:r>
    </w:p>
    <w:p w:rsidR="00C052D7" w:rsidRPr="00C052D7" w:rsidRDefault="00C052D7" w:rsidP="00D61F1F">
      <w:pPr>
        <w:autoSpaceDE w:val="0"/>
        <w:autoSpaceDN w:val="0"/>
        <w:adjustRightInd w:val="0"/>
        <w:ind w:firstLine="720"/>
        <w:jc w:val="both"/>
        <w:rPr>
          <w:i/>
        </w:rPr>
      </w:pPr>
      <w:r w:rsidRPr="00C052D7">
        <w:rPr>
          <w:i/>
        </w:rPr>
        <w:t xml:space="preserve">- отсутствует показатель по прочим межбюджетным трансфертам общего характера из районного бюджета в сумме 3139,3 тыс. руб. </w:t>
      </w:r>
    </w:p>
    <w:p w:rsidR="00D61F1F" w:rsidRPr="002D68C0" w:rsidRDefault="00A112AF" w:rsidP="00D61F1F">
      <w:pPr>
        <w:autoSpaceDE w:val="0"/>
        <w:autoSpaceDN w:val="0"/>
        <w:adjustRightInd w:val="0"/>
        <w:ind w:firstLine="720"/>
        <w:jc w:val="both"/>
      </w:pPr>
      <w:r>
        <w:t>6</w:t>
      </w:r>
      <w:r w:rsidR="00D61F1F" w:rsidRPr="002D68C0">
        <w:t xml:space="preserve">. </w:t>
      </w:r>
      <w:r w:rsidR="00D61F1F" w:rsidRPr="00702EA9">
        <w:rPr>
          <w:u w:val="single"/>
        </w:rPr>
        <w:t xml:space="preserve">Реестр источников доходов бюджета </w:t>
      </w:r>
      <w:r w:rsidR="009A5EB2">
        <w:rPr>
          <w:u w:val="single"/>
        </w:rPr>
        <w:t>Знаменского</w:t>
      </w:r>
      <w:r w:rsidR="00D61F1F" w:rsidRPr="00702EA9">
        <w:rPr>
          <w:u w:val="single"/>
        </w:rPr>
        <w:t xml:space="preserve"> сельского поселения на </w:t>
      </w:r>
      <w:r w:rsidR="00D61F1F">
        <w:rPr>
          <w:u w:val="single"/>
        </w:rPr>
        <w:t>2021 год и плановый период 2022 и 2023 годов</w:t>
      </w:r>
      <w:r w:rsidR="00D61F1F" w:rsidRPr="002D68C0">
        <w:t xml:space="preserve"> в соответствии со статьей 47.1 БК РФ.</w:t>
      </w:r>
    </w:p>
    <w:p w:rsidR="00D61F1F" w:rsidRPr="002D68C0" w:rsidRDefault="00D61F1F" w:rsidP="00D61F1F">
      <w:pPr>
        <w:tabs>
          <w:tab w:val="left" w:pos="709"/>
        </w:tabs>
        <w:ind w:firstLine="709"/>
        <w:jc w:val="both"/>
      </w:pPr>
      <w:bookmarkStart w:id="2" w:name="sub_184202"/>
      <w:r w:rsidRPr="002D68C0">
        <w:t xml:space="preserve">Реестр источников доходов местного бюджета представляет собой свод информации о доходах бюджета </w:t>
      </w:r>
      <w:r w:rsidR="009A5EB2">
        <w:t>Знаменского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D61F1F" w:rsidRPr="002D68C0" w:rsidRDefault="00D61F1F" w:rsidP="00D61F1F">
      <w:pPr>
        <w:tabs>
          <w:tab w:val="left" w:pos="709"/>
        </w:tabs>
        <w:ind w:firstLine="709"/>
        <w:jc w:val="both"/>
      </w:pPr>
      <w:r w:rsidRPr="002D68C0">
        <w:t xml:space="preserve">Анализ Реестра источников доходов местного бюджета показал, что документ сформирован по источникам доходов с оценкой </w:t>
      </w:r>
      <w:r w:rsidR="00E74FB6">
        <w:t xml:space="preserve">исполнения в </w:t>
      </w:r>
      <w:r w:rsidRPr="002D68C0">
        <w:t>20</w:t>
      </w:r>
      <w:r w:rsidR="00E74FB6">
        <w:t>20</w:t>
      </w:r>
      <w:r w:rsidRPr="002D68C0">
        <w:t xml:space="preserve"> год</w:t>
      </w:r>
      <w:r w:rsidR="00E74FB6">
        <w:t>у</w:t>
      </w:r>
      <w:r w:rsidRPr="002D68C0">
        <w:t>, на очередной финансовый год и плановый период.</w:t>
      </w:r>
    </w:p>
    <w:p w:rsidR="00E74FB6" w:rsidRPr="00260867" w:rsidRDefault="00E74FB6" w:rsidP="00E74FB6">
      <w:pPr>
        <w:tabs>
          <w:tab w:val="left" w:pos="709"/>
        </w:tabs>
        <w:ind w:firstLine="709"/>
        <w:jc w:val="both"/>
      </w:pPr>
      <w:r w:rsidRPr="00260867">
        <w:t>Установлены нарушения:</w:t>
      </w:r>
    </w:p>
    <w:p w:rsidR="0080317B" w:rsidRDefault="000F043A" w:rsidP="0080317B">
      <w:pPr>
        <w:ind w:firstLine="709"/>
        <w:jc w:val="both"/>
        <w:rPr>
          <w:i/>
        </w:rPr>
      </w:pPr>
      <w:r>
        <w:rPr>
          <w:i/>
        </w:rPr>
        <w:t>1</w:t>
      </w:r>
      <w:r w:rsidR="00E74FB6" w:rsidRPr="00260867">
        <w:rPr>
          <w:i/>
        </w:rPr>
        <w:t xml:space="preserve">. </w:t>
      </w:r>
      <w:r w:rsidR="0080317B" w:rsidRPr="0080317B">
        <w:rPr>
          <w:i/>
        </w:rPr>
        <w:t>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w:t>
      </w:r>
      <w:r w:rsidR="0086724D">
        <w:rPr>
          <w:i/>
        </w:rPr>
        <w:t xml:space="preserve"> установлены коды доходов</w:t>
      </w:r>
      <w:r w:rsidR="0080317B">
        <w:rPr>
          <w:i/>
        </w:rPr>
        <w:t>:</w:t>
      </w:r>
    </w:p>
    <w:p w:rsidR="000562F7" w:rsidRDefault="005A2010" w:rsidP="0080317B">
      <w:pPr>
        <w:ind w:firstLine="709"/>
        <w:jc w:val="both"/>
        <w:rPr>
          <w:i/>
        </w:rPr>
      </w:pPr>
      <w:r>
        <w:rPr>
          <w:i/>
        </w:rPr>
        <w:t>-</w:t>
      </w:r>
      <w:r w:rsidR="0080317B">
        <w:rPr>
          <w:i/>
        </w:rPr>
        <w:t xml:space="preserve"> </w:t>
      </w:r>
      <w:r w:rsidR="0006594D">
        <w:rPr>
          <w:i/>
        </w:rPr>
        <w:t>0</w:t>
      </w:r>
      <w:r>
        <w:rPr>
          <w:i/>
        </w:rPr>
        <w:t>00</w:t>
      </w:r>
      <w:r w:rsidR="000562F7" w:rsidRPr="00D41C17">
        <w:rPr>
          <w:i/>
        </w:rPr>
        <w:t xml:space="preserve"> </w:t>
      </w:r>
      <w:r w:rsidR="000562F7">
        <w:rPr>
          <w:i/>
        </w:rPr>
        <w:t>1</w:t>
      </w:r>
      <w:r w:rsidR="000562F7" w:rsidRPr="00D41C17">
        <w:rPr>
          <w:i/>
        </w:rPr>
        <w:t xml:space="preserve"> </w:t>
      </w:r>
      <w:r w:rsidR="000562F7">
        <w:rPr>
          <w:i/>
        </w:rPr>
        <w:t>03</w:t>
      </w:r>
      <w:r w:rsidR="000562F7" w:rsidRPr="00D41C17">
        <w:rPr>
          <w:i/>
        </w:rPr>
        <w:t xml:space="preserve"> </w:t>
      </w:r>
      <w:r w:rsidR="000562F7">
        <w:rPr>
          <w:i/>
        </w:rPr>
        <w:t>00000</w:t>
      </w:r>
      <w:r w:rsidR="000562F7" w:rsidRPr="00D41C17">
        <w:rPr>
          <w:i/>
        </w:rPr>
        <w:t xml:space="preserve"> </w:t>
      </w:r>
      <w:r w:rsidR="000562F7">
        <w:rPr>
          <w:i/>
        </w:rPr>
        <w:t>00</w:t>
      </w:r>
      <w:r w:rsidR="000562F7" w:rsidRPr="00D41C17">
        <w:rPr>
          <w:i/>
        </w:rPr>
        <w:t xml:space="preserve"> 0000 </w:t>
      </w:r>
      <w:r w:rsidR="000562F7" w:rsidRPr="000562F7">
        <w:rPr>
          <w:i/>
        </w:rPr>
        <w:t>000</w:t>
      </w:r>
      <w:r w:rsidR="000562F7" w:rsidRPr="00D41C17">
        <w:rPr>
          <w:i/>
        </w:rPr>
        <w:t xml:space="preserve"> «</w:t>
      </w:r>
      <w:r w:rsidR="000562F7">
        <w:rPr>
          <w:i/>
        </w:rPr>
        <w:t>Налоги на товары (работы, услуги), реализуемые на территории</w:t>
      </w:r>
      <w:r w:rsidR="000562F7" w:rsidRPr="00D90645">
        <w:rPr>
          <w:i/>
        </w:rPr>
        <w:t xml:space="preserve"> Российской Федерации» </w:t>
      </w:r>
      <w:r>
        <w:rPr>
          <w:i/>
        </w:rPr>
        <w:t>(</w:t>
      </w:r>
      <w:r w:rsidR="000562F7" w:rsidRPr="00D90645">
        <w:rPr>
          <w:i/>
        </w:rPr>
        <w:t>в Реестре источников доходов отражен</w:t>
      </w:r>
      <w:r>
        <w:rPr>
          <w:i/>
        </w:rPr>
        <w:t xml:space="preserve"> не существующий код 000 1 02 02000 01 0000 110)</w:t>
      </w:r>
      <w:r w:rsidR="000562F7" w:rsidRPr="00D90645">
        <w:rPr>
          <w:i/>
        </w:rPr>
        <w:t>;</w:t>
      </w:r>
    </w:p>
    <w:p w:rsidR="000562F7" w:rsidRDefault="00175FFF" w:rsidP="00175FFF">
      <w:pPr>
        <w:ind w:firstLine="709"/>
        <w:jc w:val="both"/>
      </w:pPr>
      <w:r>
        <w:rPr>
          <w:i/>
        </w:rPr>
        <w:t xml:space="preserve">- 000 1 03 02250 01 0000 110 </w:t>
      </w:r>
      <w:r w:rsidRPr="00175FFF">
        <w:rPr>
          <w:i/>
        </w:rPr>
        <w:t>«</w:t>
      </w:r>
      <w:r w:rsidRPr="00175FFF">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t xml:space="preserve"> (в Реестре источников наименование кода не верное);</w:t>
      </w:r>
    </w:p>
    <w:p w:rsidR="00175FFF" w:rsidRDefault="00175FFF" w:rsidP="00175FFF">
      <w:pPr>
        <w:ind w:firstLine="709"/>
        <w:jc w:val="both"/>
      </w:pPr>
      <w:r>
        <w:t xml:space="preserve">- 000 1 03 02260 01 0000 110 </w:t>
      </w:r>
      <w:r w:rsidRPr="00175FFF">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t>(в Реестре источников наименование кода не верное);</w:t>
      </w:r>
    </w:p>
    <w:p w:rsidR="00175FFF" w:rsidRPr="000F043A" w:rsidRDefault="000F043A" w:rsidP="00175FFF">
      <w:pPr>
        <w:ind w:firstLine="709"/>
        <w:jc w:val="both"/>
        <w:rPr>
          <w:i/>
        </w:rPr>
      </w:pPr>
      <w:r>
        <w:rPr>
          <w:i/>
        </w:rPr>
        <w:t xml:space="preserve">2. </w:t>
      </w:r>
      <w:r w:rsidR="00D61F1F" w:rsidRPr="000F043A">
        <w:rPr>
          <w:i/>
        </w:rPr>
        <w:t xml:space="preserve">Нормативы зачислений в местный бюджет </w:t>
      </w:r>
      <w:r w:rsidR="00175FFF" w:rsidRPr="000F043A">
        <w:rPr>
          <w:i/>
        </w:rPr>
        <w:t xml:space="preserve">по акцизам по подакцизным товарам (продукции), производимым на территории Российской Федерации (КБК 000 1 03 02000 01 0000 110) установлены не верно – в размере 15%, в соответствии </w:t>
      </w:r>
      <w:r w:rsidRPr="000F043A">
        <w:rPr>
          <w:i/>
        </w:rPr>
        <w:t xml:space="preserve">с пунктом 4 статьи 3 </w:t>
      </w:r>
      <w:r w:rsidR="00175FFF" w:rsidRPr="000F043A">
        <w:rPr>
          <w:i/>
        </w:rPr>
        <w:t>проект</w:t>
      </w:r>
      <w:r w:rsidRPr="000F043A">
        <w:rPr>
          <w:i/>
        </w:rPr>
        <w:t>а</w:t>
      </w:r>
      <w:r w:rsidR="00175FFF" w:rsidRPr="000F043A">
        <w:rPr>
          <w:i/>
        </w:rPr>
        <w:t xml:space="preserve"> закона Иркутской области «Об областном бюджете на 2021 год и на плановый период 2022 и 2023 годов» </w:t>
      </w:r>
      <w:r w:rsidRPr="000F043A">
        <w:rPr>
          <w:i/>
        </w:rPr>
        <w:t>дифференцированный нормативов отчислений в бюджет Знаменского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0,006%</w:t>
      </w:r>
      <w:r w:rsidRPr="000F043A">
        <w:rPr>
          <w:bCs/>
          <w:i/>
        </w:rPr>
        <w:t>.</w:t>
      </w:r>
    </w:p>
    <w:p w:rsidR="00D61F1F" w:rsidRPr="007723FC" w:rsidRDefault="00A112AF" w:rsidP="00D61F1F">
      <w:pPr>
        <w:autoSpaceDE w:val="0"/>
        <w:autoSpaceDN w:val="0"/>
        <w:adjustRightInd w:val="0"/>
        <w:ind w:firstLine="720"/>
        <w:jc w:val="both"/>
      </w:pPr>
      <w:r>
        <w:t>7</w:t>
      </w:r>
      <w:r w:rsidR="00D61F1F" w:rsidRPr="002D68C0">
        <w:t xml:space="preserve">. </w:t>
      </w:r>
      <w:r w:rsidR="00D61F1F" w:rsidRPr="00F10437">
        <w:rPr>
          <w:u w:val="single"/>
        </w:rPr>
        <w:t>Паспорт муниципальн</w:t>
      </w:r>
      <w:r w:rsidR="000D413E">
        <w:rPr>
          <w:u w:val="single"/>
        </w:rPr>
        <w:t>ой</w:t>
      </w:r>
      <w:r w:rsidR="00D61F1F" w:rsidRPr="00F10437">
        <w:rPr>
          <w:u w:val="single"/>
        </w:rPr>
        <w:t xml:space="preserve"> программ</w:t>
      </w:r>
      <w:r w:rsidR="000D413E">
        <w:rPr>
          <w:u w:val="single"/>
        </w:rPr>
        <w:t xml:space="preserve">ы </w:t>
      </w:r>
      <w:r w:rsidR="000D413E" w:rsidRPr="000D413E">
        <w:t>«Комплексное развитие сельских территорий Знаменского муниципального образования на 2020-2026 годы»</w:t>
      </w:r>
      <w:r w:rsidR="00D61F1F" w:rsidRPr="000D413E">
        <w:t>.</w:t>
      </w:r>
    </w:p>
    <w:bookmarkEnd w:id="2"/>
    <w:p w:rsidR="00BF0BE8" w:rsidRDefault="00BF0BE8" w:rsidP="00BF0BE8"/>
    <w:p w:rsidR="006D0DD2" w:rsidRPr="00AA5219" w:rsidRDefault="00492A60" w:rsidP="006D0DD2">
      <w:pPr>
        <w:pStyle w:val="ab"/>
        <w:spacing w:after="0"/>
        <w:jc w:val="center"/>
        <w:rPr>
          <w:rFonts w:ascii="Times New Roman" w:hAnsi="Times New Roman"/>
          <w:bCs/>
          <w:sz w:val="24"/>
          <w:szCs w:val="24"/>
        </w:rPr>
      </w:pPr>
      <w:r w:rsidRPr="00AA5219">
        <w:rPr>
          <w:rFonts w:ascii="Times New Roman" w:hAnsi="Times New Roman"/>
          <w:bCs/>
          <w:sz w:val="24"/>
          <w:szCs w:val="24"/>
        </w:rPr>
        <w:t xml:space="preserve">Общая характеристика проекта </w:t>
      </w:r>
      <w:r w:rsidR="00D00D84" w:rsidRPr="00AA5219">
        <w:rPr>
          <w:rFonts w:ascii="Times New Roman" w:hAnsi="Times New Roman"/>
          <w:bCs/>
          <w:sz w:val="24"/>
          <w:szCs w:val="24"/>
        </w:rPr>
        <w:t xml:space="preserve">местного </w:t>
      </w:r>
      <w:r w:rsidRPr="00AA5219">
        <w:rPr>
          <w:rFonts w:ascii="Times New Roman" w:hAnsi="Times New Roman"/>
          <w:bCs/>
          <w:sz w:val="24"/>
          <w:szCs w:val="24"/>
        </w:rPr>
        <w:t xml:space="preserve">бюджета </w:t>
      </w:r>
    </w:p>
    <w:p w:rsidR="00492A60" w:rsidRPr="00AA5219" w:rsidRDefault="006D0DD2" w:rsidP="006D0DD2">
      <w:pPr>
        <w:pStyle w:val="ab"/>
        <w:spacing w:after="0"/>
        <w:jc w:val="center"/>
        <w:rPr>
          <w:rFonts w:ascii="Times New Roman" w:hAnsi="Times New Roman"/>
          <w:sz w:val="24"/>
          <w:szCs w:val="24"/>
        </w:rPr>
      </w:pPr>
      <w:r w:rsidRPr="00AA5219">
        <w:rPr>
          <w:rFonts w:ascii="Times New Roman" w:hAnsi="Times New Roman"/>
          <w:bCs/>
          <w:sz w:val="24"/>
          <w:szCs w:val="24"/>
        </w:rPr>
        <w:t xml:space="preserve"> </w:t>
      </w:r>
      <w:r w:rsidR="00492A60" w:rsidRPr="00AA5219">
        <w:rPr>
          <w:rFonts w:ascii="Times New Roman" w:hAnsi="Times New Roman"/>
          <w:bCs/>
          <w:sz w:val="24"/>
          <w:szCs w:val="24"/>
        </w:rPr>
        <w:t xml:space="preserve">на </w:t>
      </w:r>
      <w:r w:rsidR="007965C5" w:rsidRPr="00AA5219">
        <w:rPr>
          <w:rFonts w:ascii="Times New Roman" w:hAnsi="Times New Roman"/>
          <w:bCs/>
          <w:sz w:val="24"/>
          <w:szCs w:val="24"/>
        </w:rPr>
        <w:t>2021 год и плановый период 2022 и 2023 годов</w:t>
      </w:r>
    </w:p>
    <w:p w:rsidR="00492A60" w:rsidRPr="00492A60" w:rsidRDefault="00492A60" w:rsidP="00492A60">
      <w:pPr>
        <w:autoSpaceDE w:val="0"/>
        <w:autoSpaceDN w:val="0"/>
        <w:adjustRightInd w:val="0"/>
        <w:ind w:firstLine="720"/>
        <w:jc w:val="both"/>
        <w:rPr>
          <w:rFonts w:ascii="Arial" w:hAnsi="Arial" w:cs="Arial"/>
        </w:rPr>
      </w:pPr>
    </w:p>
    <w:p w:rsidR="00D00D84" w:rsidRPr="00466605" w:rsidRDefault="00D00D84" w:rsidP="00D00D84">
      <w:pPr>
        <w:widowControl w:val="0"/>
        <w:numPr>
          <w:ilvl w:val="12"/>
          <w:numId w:val="0"/>
        </w:numPr>
        <w:ind w:firstLine="720"/>
        <w:jc w:val="both"/>
      </w:pPr>
      <w:r w:rsidRPr="00466605">
        <w:t xml:space="preserve">Формирование основных параметров </w:t>
      </w:r>
      <w:r w:rsidR="00401E41">
        <w:t xml:space="preserve">местного </w:t>
      </w:r>
      <w:r w:rsidRPr="00466605">
        <w:t>бюджета  на 202</w:t>
      </w:r>
      <w:r w:rsidR="00401E41">
        <w:t>1</w:t>
      </w:r>
      <w:r w:rsidRPr="00466605">
        <w:t xml:space="preserve"> год и на плановый период 202</w:t>
      </w:r>
      <w:r w:rsidR="00401E41">
        <w:t>2</w:t>
      </w:r>
      <w:r w:rsidRPr="00466605">
        <w:t xml:space="preserve"> и 202</w:t>
      </w:r>
      <w:r w:rsidR="00401E41">
        <w:t>3</w:t>
      </w:r>
      <w:r w:rsidRPr="00466605">
        <w:t xml:space="preserve"> годов осуществлено в соответствии с требованиями действующего бюджетного и налогового законодательства</w:t>
      </w:r>
      <w:r>
        <w:t>,</w:t>
      </w:r>
      <w:r w:rsidRPr="00466605">
        <w:t xml:space="preserve"> с учетом планируемых с 202</w:t>
      </w:r>
      <w:r w:rsidR="00401E41">
        <w:t>1</w:t>
      </w:r>
      <w:r w:rsidRPr="00466605">
        <w:t xml:space="preserve"> года изменений. Также учтены ожидаемые параметры исполнения бюджета за 20</w:t>
      </w:r>
      <w:r w:rsidR="00401E41">
        <w:t>20</w:t>
      </w:r>
      <w:r w:rsidRPr="00466605">
        <w:t xml:space="preserve"> год, основные параметры прогноза </w:t>
      </w:r>
      <w:r>
        <w:t>СЭР</w:t>
      </w:r>
      <w:r w:rsidRPr="00466605">
        <w:t xml:space="preserve"> на 202</w:t>
      </w:r>
      <w:r w:rsidR="00401E41">
        <w:t>1</w:t>
      </w:r>
      <w:r>
        <w:t>-</w:t>
      </w:r>
      <w:r w:rsidRPr="00466605">
        <w:t>202</w:t>
      </w:r>
      <w:r w:rsidR="00401E41">
        <w:t>3</w:t>
      </w:r>
      <w:r w:rsidRPr="00466605">
        <w:t xml:space="preserve"> год</w:t>
      </w:r>
      <w:r>
        <w:t>ы</w:t>
      </w:r>
      <w:r w:rsidRPr="00466605">
        <w:t>.</w:t>
      </w:r>
    </w:p>
    <w:p w:rsidR="00D00D84" w:rsidRPr="00466605" w:rsidRDefault="00D00D84" w:rsidP="00D00D84">
      <w:pPr>
        <w:widowControl w:val="0"/>
        <w:numPr>
          <w:ilvl w:val="12"/>
          <w:numId w:val="0"/>
        </w:numPr>
        <w:ind w:firstLine="720"/>
        <w:jc w:val="both"/>
      </w:pPr>
      <w:r w:rsidRPr="00466605">
        <w:t xml:space="preserve">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w:t>
      </w:r>
      <w:r w:rsidR="009A5EB2">
        <w:t>Знаменского</w:t>
      </w:r>
      <w:r>
        <w:t xml:space="preserve"> </w:t>
      </w:r>
      <w:r w:rsidRPr="00466605">
        <w:t>муниципального образования.</w:t>
      </w:r>
    </w:p>
    <w:p w:rsidR="00D00D84" w:rsidRPr="00466605" w:rsidRDefault="00D00D84" w:rsidP="00D00D84">
      <w:pPr>
        <w:widowControl w:val="0"/>
        <w:numPr>
          <w:ilvl w:val="12"/>
          <w:numId w:val="0"/>
        </w:numPr>
        <w:ind w:firstLine="720"/>
        <w:jc w:val="both"/>
      </w:pPr>
      <w:r w:rsidRPr="00466605">
        <w:t xml:space="preserve">Показатели проекта </w:t>
      </w:r>
      <w:r w:rsidR="00CA051D">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D00D84" w:rsidRDefault="00D00D84" w:rsidP="00D00D84">
      <w:pPr>
        <w:widowControl w:val="0"/>
        <w:numPr>
          <w:ilvl w:val="12"/>
          <w:numId w:val="0"/>
        </w:numPr>
        <w:ind w:firstLine="720"/>
        <w:jc w:val="both"/>
      </w:pPr>
      <w:r w:rsidRPr="00466605">
        <w:t xml:space="preserve">В соответствии с пунктом 1 проекта </w:t>
      </w:r>
      <w:r>
        <w:t>бюджета</w:t>
      </w:r>
      <w:r w:rsidRPr="00466605">
        <w:t xml:space="preserve"> предлагается утвердить следующие основные характеристики </w:t>
      </w:r>
      <w:r>
        <w:t xml:space="preserve">местного </w:t>
      </w:r>
      <w:r w:rsidRPr="00466605">
        <w:t>бюджета на 202</w:t>
      </w:r>
      <w:r w:rsidR="00CA051D">
        <w:t>1</w:t>
      </w:r>
      <w:r>
        <w:t xml:space="preserve"> </w:t>
      </w:r>
      <w:r w:rsidRPr="00466605">
        <w:t>год:</w:t>
      </w:r>
    </w:p>
    <w:p w:rsidR="00D00D84" w:rsidRDefault="00D00D84" w:rsidP="00D00D84">
      <w:pPr>
        <w:widowControl w:val="0"/>
        <w:numPr>
          <w:ilvl w:val="12"/>
          <w:numId w:val="0"/>
        </w:numPr>
        <w:ind w:firstLine="720"/>
        <w:jc w:val="both"/>
      </w:pPr>
      <w:r w:rsidRPr="00466605">
        <w:t xml:space="preserve">- общий объем доходов в сумме </w:t>
      </w:r>
      <w:r w:rsidR="000D413E">
        <w:t>9378,6</w:t>
      </w:r>
      <w:r w:rsidRPr="00466605">
        <w:t xml:space="preserve"> тыс. рублей;</w:t>
      </w:r>
    </w:p>
    <w:p w:rsidR="00D00D84" w:rsidRDefault="00D00D84" w:rsidP="00D00D84">
      <w:pPr>
        <w:widowControl w:val="0"/>
        <w:numPr>
          <w:ilvl w:val="12"/>
          <w:numId w:val="0"/>
        </w:numPr>
        <w:ind w:firstLine="720"/>
        <w:jc w:val="both"/>
      </w:pPr>
      <w:r w:rsidRPr="00466605">
        <w:t xml:space="preserve">- общий объем расходов в сумме </w:t>
      </w:r>
      <w:r w:rsidR="000D413E">
        <w:t>9418,9</w:t>
      </w:r>
      <w:r w:rsidRPr="00466605">
        <w:t xml:space="preserve"> тыс. рублей;</w:t>
      </w:r>
    </w:p>
    <w:p w:rsidR="00D00D84" w:rsidRPr="00466605" w:rsidRDefault="00D00D84" w:rsidP="00D00D84">
      <w:pPr>
        <w:widowControl w:val="0"/>
        <w:numPr>
          <w:ilvl w:val="12"/>
          <w:numId w:val="0"/>
        </w:numPr>
        <w:ind w:firstLine="720"/>
        <w:jc w:val="both"/>
      </w:pPr>
      <w:r w:rsidRPr="00466605">
        <w:t xml:space="preserve">- размер дефицита в сумме </w:t>
      </w:r>
      <w:r w:rsidR="000D413E">
        <w:t>40,3</w:t>
      </w:r>
      <w:r w:rsidRPr="00466605">
        <w:t xml:space="preserve"> тыс. рублей или </w:t>
      </w:r>
      <w:r w:rsidR="005643BB">
        <w:t>3,75</w:t>
      </w:r>
      <w:r w:rsidRPr="00466605">
        <w:t>% утвержденного общего годового объема доходов местного бюджета без учета утвержденного объема безвозмездных поступлений.</w:t>
      </w:r>
    </w:p>
    <w:p w:rsidR="00D00D84" w:rsidRPr="00466605" w:rsidRDefault="00D00D84" w:rsidP="00D00D84">
      <w:pPr>
        <w:widowControl w:val="0"/>
        <w:numPr>
          <w:ilvl w:val="12"/>
          <w:numId w:val="0"/>
        </w:numPr>
        <w:ind w:firstLine="720"/>
        <w:jc w:val="both"/>
      </w:pPr>
      <w:r w:rsidRPr="00466605">
        <w:t xml:space="preserve">Пунктом 2 проекта </w:t>
      </w:r>
      <w:r>
        <w:t>бюджета</w:t>
      </w:r>
      <w:r w:rsidRPr="00466605">
        <w:t xml:space="preserve"> предлагается утвердить основные характеристики </w:t>
      </w:r>
      <w:r>
        <w:t xml:space="preserve">местного </w:t>
      </w:r>
      <w:r w:rsidRPr="00466605">
        <w:t>бюджета на плановый период 202</w:t>
      </w:r>
      <w:r w:rsidR="005643BB">
        <w:t xml:space="preserve">2 </w:t>
      </w:r>
      <w:r w:rsidRPr="00466605">
        <w:t>и 202</w:t>
      </w:r>
      <w:r w:rsidR="005643BB">
        <w:t>3</w:t>
      </w:r>
      <w:r w:rsidRPr="00466605">
        <w:t xml:space="preserve"> годов:</w:t>
      </w:r>
    </w:p>
    <w:p w:rsidR="00D00D84" w:rsidRPr="00466605" w:rsidRDefault="00D00D84" w:rsidP="00D00D84">
      <w:pPr>
        <w:widowControl w:val="0"/>
        <w:ind w:firstLine="720"/>
        <w:jc w:val="both"/>
      </w:pPr>
      <w:r w:rsidRPr="00466605">
        <w:t>- общий объем доходов на 202</w:t>
      </w:r>
      <w:r w:rsidR="005643BB">
        <w:t>2</w:t>
      </w:r>
      <w:r w:rsidRPr="00466605">
        <w:t xml:space="preserve"> год в сумме </w:t>
      </w:r>
      <w:r w:rsidR="000D413E">
        <w:t>9018,3</w:t>
      </w:r>
      <w:r w:rsidRPr="00466605">
        <w:t xml:space="preserve"> тыс. рублей, на 202</w:t>
      </w:r>
      <w:r w:rsidR="005643BB">
        <w:t>3</w:t>
      </w:r>
      <w:r w:rsidRPr="00466605">
        <w:t xml:space="preserve"> год в сумме </w:t>
      </w:r>
      <w:r w:rsidR="000D413E">
        <w:t>8840,1</w:t>
      </w:r>
      <w:r w:rsidRPr="00466605">
        <w:t xml:space="preserve"> тыс. рублей;</w:t>
      </w:r>
    </w:p>
    <w:p w:rsidR="00D00D84" w:rsidRPr="00466605" w:rsidRDefault="00D00D84" w:rsidP="00D00D84">
      <w:pPr>
        <w:widowControl w:val="0"/>
        <w:ind w:firstLine="720"/>
        <w:jc w:val="both"/>
      </w:pPr>
      <w:r w:rsidRPr="00466605">
        <w:t>- общий объем расходов на 202</w:t>
      </w:r>
      <w:r w:rsidR="005643BB">
        <w:t>2</w:t>
      </w:r>
      <w:r w:rsidRPr="00466605">
        <w:t xml:space="preserve"> год в сумме </w:t>
      </w:r>
      <w:r w:rsidR="000D413E">
        <w:t>9060</w:t>
      </w:r>
      <w:r w:rsidRPr="00466605">
        <w:t xml:space="preserve"> тыс. рублей, в том числе условно утвержденные расходы в сумме </w:t>
      </w:r>
      <w:r w:rsidR="000D413E">
        <w:t>218</w:t>
      </w:r>
      <w:r w:rsidRPr="00466605">
        <w:t xml:space="preserve"> тыс.руб., на 202</w:t>
      </w:r>
      <w:r w:rsidR="005643BB">
        <w:t>3</w:t>
      </w:r>
      <w:r w:rsidRPr="00466605">
        <w:t xml:space="preserve"> год в сумме </w:t>
      </w:r>
      <w:r w:rsidR="000D413E">
        <w:t>8883,1</w:t>
      </w:r>
      <w:r w:rsidRPr="00466605">
        <w:t xml:space="preserve"> тыс. рублей, в том числе условно утвержденные расходы в сумме </w:t>
      </w:r>
      <w:r w:rsidR="000D413E">
        <w:t>426,8</w:t>
      </w:r>
      <w:r w:rsidRPr="00466605">
        <w:t xml:space="preserve"> тыс.руб.;</w:t>
      </w:r>
    </w:p>
    <w:p w:rsidR="00D00D84" w:rsidRPr="00466605" w:rsidRDefault="00D00D84" w:rsidP="00D00D84">
      <w:pPr>
        <w:widowControl w:val="0"/>
        <w:ind w:firstLine="720"/>
        <w:jc w:val="both"/>
      </w:pPr>
      <w:r w:rsidRPr="00466605">
        <w:t>- размер дефицита бюджета на 202</w:t>
      </w:r>
      <w:r w:rsidR="005643BB">
        <w:t>2</w:t>
      </w:r>
      <w:r w:rsidRPr="00466605">
        <w:t xml:space="preserve"> год в сумме </w:t>
      </w:r>
      <w:r w:rsidR="000D413E">
        <w:t>41,7</w:t>
      </w:r>
      <w:r w:rsidRPr="00466605">
        <w:t xml:space="preserve"> тыс. рублей или </w:t>
      </w:r>
      <w:r w:rsidR="005643BB">
        <w:t>3,</w:t>
      </w:r>
      <w:r w:rsidRPr="00466605">
        <w:t>75% утвержденного общего годового объема доходов местного бюджета без учета утвержденного объема безвозмездных поступлений, на 202</w:t>
      </w:r>
      <w:r w:rsidR="005643BB">
        <w:t>3</w:t>
      </w:r>
      <w:r w:rsidRPr="00466605">
        <w:t xml:space="preserve"> год в сумме </w:t>
      </w:r>
      <w:r w:rsidR="000D413E">
        <w:t>43</w:t>
      </w:r>
      <w:r w:rsidRPr="00466605">
        <w:t xml:space="preserve"> тыс. рублей или </w:t>
      </w:r>
      <w:r w:rsidR="005643BB">
        <w:t>3,</w:t>
      </w:r>
      <w:r w:rsidRPr="00466605">
        <w:t>7</w:t>
      </w:r>
      <w:r w:rsidR="000D413E">
        <w:t>4</w:t>
      </w:r>
      <w:r w:rsidRPr="00466605">
        <w:t>% утвержденного общего годового объема доходов местного бюджета без учета утвержденного объема безвозмездных поступлений.</w:t>
      </w:r>
    </w:p>
    <w:p w:rsidR="00FE1BF1" w:rsidRPr="00E642A2" w:rsidRDefault="00FE1BF1" w:rsidP="00FE1BF1">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5 процентов утвержденного общего годового объема доходов местного бюджета без учета утвержденного объема безвозмездных поступлений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CF310D" w:rsidRPr="00283264" w:rsidRDefault="00CF310D" w:rsidP="00CF310D">
      <w:pPr>
        <w:widowControl w:val="0"/>
        <w:numPr>
          <w:ilvl w:val="12"/>
          <w:numId w:val="0"/>
        </w:numPr>
        <w:ind w:firstLine="567"/>
        <w:jc w:val="both"/>
      </w:pPr>
      <w:r w:rsidRPr="0067155B">
        <w:t>Условно утвержденные расходы на 20</w:t>
      </w:r>
      <w:r>
        <w:t xml:space="preserve">22-2023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F310D" w:rsidRPr="00283264" w:rsidRDefault="00CF310D" w:rsidP="00CF310D">
      <w:pPr>
        <w:autoSpaceDE w:val="0"/>
        <w:autoSpaceDN w:val="0"/>
        <w:adjustRightInd w:val="0"/>
        <w:ind w:firstLine="567"/>
        <w:jc w:val="both"/>
      </w:pPr>
      <w:r w:rsidRPr="00283264">
        <w:t>В соответствии с п.5 ст. 184</w:t>
      </w:r>
      <w:r>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t xml:space="preserve"> на 2022-2023 годы,</w:t>
      </w:r>
      <w:r w:rsidRPr="002C19C5">
        <w:t xml:space="preserve"> </w:t>
      </w:r>
      <w:r>
        <w:t xml:space="preserve">что </w:t>
      </w:r>
      <w:r w:rsidRPr="00283264">
        <w:t>позвол</w:t>
      </w:r>
      <w:r>
        <w:t>яет</w:t>
      </w:r>
      <w:r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492A60" w:rsidRPr="006D0DD2" w:rsidRDefault="00492A60" w:rsidP="008860A5">
      <w:pPr>
        <w:shd w:val="clear" w:color="auto" w:fill="FFFFFF"/>
        <w:ind w:firstLine="709"/>
        <w:jc w:val="both"/>
        <w:textAlignment w:val="baseline"/>
        <w:rPr>
          <w:color w:val="191919"/>
        </w:rPr>
      </w:pPr>
      <w:r w:rsidRPr="006D0DD2">
        <w:rPr>
          <w:bCs/>
          <w:color w:val="191919"/>
        </w:rPr>
        <w:t>Кроме вышеперечисленных показателей</w:t>
      </w:r>
      <w:r w:rsidRPr="006D0DD2">
        <w:rPr>
          <w:color w:val="191919"/>
        </w:rPr>
        <w:t>, предусмотренных Бюджетным кодексом РФ, в проекте решения о бюджете в соответствии с п</w:t>
      </w:r>
      <w:r w:rsidR="006B0710">
        <w:rPr>
          <w:color w:val="191919"/>
        </w:rPr>
        <w:t xml:space="preserve">унктом </w:t>
      </w:r>
      <w:r w:rsidRPr="006D0DD2">
        <w:rPr>
          <w:color w:val="191919"/>
        </w:rPr>
        <w:t>2 ст</w:t>
      </w:r>
      <w:r w:rsidR="006B0710">
        <w:rPr>
          <w:color w:val="191919"/>
        </w:rPr>
        <w:t xml:space="preserve">атьи </w:t>
      </w:r>
      <w:r w:rsidRPr="006D0DD2">
        <w:rPr>
          <w:color w:val="191919"/>
        </w:rPr>
        <w:t>179 БК РФ предлагается к утверждению объем бюджетных ассигнований на финансовое обеспечение реализации муниципальн</w:t>
      </w:r>
      <w:r w:rsidR="007961ED">
        <w:rPr>
          <w:color w:val="191919"/>
        </w:rPr>
        <w:t>ой</w:t>
      </w:r>
      <w:r w:rsidRPr="006D0DD2">
        <w:rPr>
          <w:color w:val="191919"/>
        </w:rPr>
        <w:t xml:space="preserve"> программ</w:t>
      </w:r>
      <w:r w:rsidR="007961ED">
        <w:rPr>
          <w:color w:val="191919"/>
        </w:rPr>
        <w:t>ы</w:t>
      </w:r>
      <w:r w:rsidRPr="006D0DD2">
        <w:rPr>
          <w:color w:val="191919"/>
        </w:rPr>
        <w:t xml:space="preserve"> по соответствующей программе  целевой статье расходов бюджета</w:t>
      </w:r>
      <w:r w:rsidR="006B0710">
        <w:rPr>
          <w:color w:val="191919"/>
        </w:rPr>
        <w:t>.</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DA36A6">
        <w:rPr>
          <w:color w:val="000000"/>
        </w:rPr>
        <w:t>1</w:t>
      </w:r>
      <w:r w:rsidR="006B0710">
        <w:rPr>
          <w:color w:val="000000"/>
        </w:rPr>
        <w:t>-202</w:t>
      </w:r>
      <w:r w:rsidR="00DA36A6">
        <w:rPr>
          <w:color w:val="000000"/>
        </w:rPr>
        <w:t>3</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w:t>
      </w:r>
      <w:r w:rsidR="00DA36A6">
        <w:rPr>
          <w:color w:val="000000"/>
        </w:rPr>
        <w:t xml:space="preserve">1-2023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Pr>
          <w:color w:val="000000"/>
        </w:rPr>
        <w:t>12</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6B4DCC" w:rsidRDefault="006B4DCC" w:rsidP="006B4DCC">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D20DA3">
        <w:rPr>
          <w:b w:val="0"/>
          <w:i w:val="0"/>
          <w:color w:val="191919"/>
          <w:sz w:val="24"/>
        </w:rPr>
        <w:t>1</w:t>
      </w:r>
      <w:r w:rsidRPr="006D0DD2">
        <w:rPr>
          <w:b w:val="0"/>
          <w:i w:val="0"/>
          <w:color w:val="191919"/>
          <w:sz w:val="24"/>
        </w:rPr>
        <w:t xml:space="preserve"> году </w:t>
      </w:r>
      <w:r>
        <w:rPr>
          <w:b w:val="0"/>
          <w:i w:val="0"/>
          <w:color w:val="191919"/>
          <w:sz w:val="24"/>
        </w:rPr>
        <w:t>и плановом периоде 202</w:t>
      </w:r>
      <w:r w:rsidR="00D20DA3">
        <w:rPr>
          <w:b w:val="0"/>
          <w:i w:val="0"/>
          <w:color w:val="191919"/>
          <w:sz w:val="24"/>
        </w:rPr>
        <w:t>2</w:t>
      </w:r>
      <w:r>
        <w:rPr>
          <w:b w:val="0"/>
          <w:i w:val="0"/>
          <w:color w:val="191919"/>
          <w:sz w:val="24"/>
        </w:rPr>
        <w:t xml:space="preserve"> и 202</w:t>
      </w:r>
      <w:r w:rsidR="00D20DA3">
        <w:rPr>
          <w:b w:val="0"/>
          <w:i w:val="0"/>
          <w:color w:val="191919"/>
          <w:sz w:val="24"/>
        </w:rPr>
        <w:t>3</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6B4DCC">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Pr>
          <w:b w:val="0"/>
          <w:i w:val="0"/>
          <w:color w:val="191919"/>
          <w:sz w:val="24"/>
        </w:rPr>
        <w:t>3-7, 9-11 к проекту бюджета</w:t>
      </w:r>
      <w:r w:rsidRPr="006B4DCC">
        <w:rPr>
          <w:b w:val="0"/>
          <w:i w:val="0"/>
          <w:color w:val="191919"/>
          <w:sz w:val="24"/>
        </w:rPr>
        <w:t>.</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9A5EB2" w:rsidP="0044286D">
      <w:pPr>
        <w:widowControl w:val="0"/>
        <w:numPr>
          <w:ilvl w:val="12"/>
          <w:numId w:val="0"/>
        </w:numPr>
        <w:ind w:firstLine="720"/>
        <w:jc w:val="center"/>
      </w:pPr>
      <w:r>
        <w:t>Знаменского</w:t>
      </w:r>
      <w:r w:rsidR="0044286D" w:rsidRPr="00AA5219">
        <w:t xml:space="preserve"> муниципального образования на 2021 год </w:t>
      </w:r>
    </w:p>
    <w:p w:rsidR="0044286D" w:rsidRPr="00AA5219" w:rsidRDefault="0044286D" w:rsidP="0044286D">
      <w:pPr>
        <w:widowControl w:val="0"/>
        <w:numPr>
          <w:ilvl w:val="12"/>
          <w:numId w:val="0"/>
        </w:numPr>
        <w:ind w:firstLine="720"/>
        <w:jc w:val="center"/>
      </w:pPr>
      <w:r w:rsidRPr="00AA5219">
        <w:t>и на плановый период 2022 и 2023 годов</w:t>
      </w:r>
    </w:p>
    <w:p w:rsidR="0044286D" w:rsidRPr="00466605" w:rsidRDefault="0044286D" w:rsidP="0044286D">
      <w:pPr>
        <w:widowControl w:val="0"/>
        <w:numPr>
          <w:ilvl w:val="12"/>
          <w:numId w:val="0"/>
        </w:numPr>
        <w:ind w:firstLine="720"/>
        <w:jc w:val="center"/>
        <w:rPr>
          <w:b/>
        </w:rPr>
      </w:pPr>
    </w:p>
    <w:p w:rsidR="00B777B6" w:rsidRPr="0034491A" w:rsidRDefault="00B777B6" w:rsidP="00B777B6">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2021 год прогнозируется в сумме </w:t>
      </w:r>
      <w:r w:rsidR="009C1CC0">
        <w:rPr>
          <w:b w:val="0"/>
          <w:bCs w:val="0"/>
          <w:i w:val="0"/>
          <w:color w:val="000000"/>
          <w:spacing w:val="3"/>
          <w:sz w:val="24"/>
        </w:rPr>
        <w:t>9378,6</w:t>
      </w:r>
      <w:r>
        <w:rPr>
          <w:b w:val="0"/>
          <w:bCs w:val="0"/>
          <w:i w:val="0"/>
          <w:color w:val="000000"/>
          <w:spacing w:val="3"/>
          <w:sz w:val="24"/>
        </w:rPr>
        <w:t xml:space="preserve"> тыс. руб</w:t>
      </w:r>
      <w:r w:rsidRPr="003A09E3">
        <w:rPr>
          <w:b w:val="0"/>
          <w:bCs w:val="0"/>
          <w:i w:val="0"/>
          <w:color w:val="000000"/>
          <w:spacing w:val="3"/>
          <w:sz w:val="24"/>
        </w:rPr>
        <w:t xml:space="preserve">., </w:t>
      </w:r>
      <w:r w:rsidRPr="003A09E3">
        <w:rPr>
          <w:b w:val="0"/>
          <w:i w:val="0"/>
          <w:sz w:val="24"/>
        </w:rPr>
        <w:t xml:space="preserve">в том числе налоговые и неналоговые доходы в сумме </w:t>
      </w:r>
      <w:r w:rsidR="009C1CC0">
        <w:rPr>
          <w:b w:val="0"/>
          <w:i w:val="0"/>
          <w:sz w:val="24"/>
        </w:rPr>
        <w:t>1075,9</w:t>
      </w:r>
      <w:r w:rsidRPr="003A09E3">
        <w:rPr>
          <w:b w:val="0"/>
          <w:i w:val="0"/>
          <w:sz w:val="24"/>
        </w:rPr>
        <w:t xml:space="preserve"> тыс. рублей, или </w:t>
      </w:r>
      <w:r w:rsidR="009C1CC0">
        <w:rPr>
          <w:b w:val="0"/>
          <w:i w:val="0"/>
          <w:sz w:val="24"/>
        </w:rPr>
        <w:t>11,5</w:t>
      </w:r>
      <w:r w:rsidRPr="003A09E3">
        <w:rPr>
          <w:b w:val="0"/>
          <w:i w:val="0"/>
          <w:sz w:val="24"/>
        </w:rPr>
        <w:t xml:space="preserve">% объема доходов местного бюджета, безвозмездные поступления – </w:t>
      </w:r>
      <w:r w:rsidR="009C1CC0">
        <w:rPr>
          <w:b w:val="0"/>
          <w:i w:val="0"/>
          <w:sz w:val="24"/>
        </w:rPr>
        <w:t>8302,7</w:t>
      </w:r>
      <w:r w:rsidRPr="003A09E3">
        <w:rPr>
          <w:b w:val="0"/>
          <w:i w:val="0"/>
          <w:sz w:val="24"/>
        </w:rPr>
        <w:t xml:space="preserve"> тыс. рублей (или </w:t>
      </w:r>
      <w:r w:rsidR="009C1CC0">
        <w:rPr>
          <w:b w:val="0"/>
          <w:i w:val="0"/>
          <w:sz w:val="24"/>
        </w:rPr>
        <w:t>88,5</w:t>
      </w:r>
      <w:r w:rsidRPr="003A09E3">
        <w:rPr>
          <w:b w:val="0"/>
          <w:i w:val="0"/>
          <w:sz w:val="24"/>
        </w:rPr>
        <w:t>%),</w:t>
      </w:r>
      <w:r>
        <w:t xml:space="preserve"> </w:t>
      </w:r>
      <w:r>
        <w:rPr>
          <w:b w:val="0"/>
          <w:bCs w:val="0"/>
          <w:i w:val="0"/>
          <w:color w:val="000000"/>
          <w:spacing w:val="3"/>
          <w:sz w:val="24"/>
        </w:rPr>
        <w:t xml:space="preserve">со снижением к уровню 2020 года на сумму </w:t>
      </w:r>
      <w:r w:rsidR="009C1CC0">
        <w:rPr>
          <w:b w:val="0"/>
          <w:bCs w:val="0"/>
          <w:i w:val="0"/>
          <w:color w:val="000000"/>
          <w:spacing w:val="3"/>
          <w:sz w:val="24"/>
        </w:rPr>
        <w:t>1457,9</w:t>
      </w:r>
      <w:r>
        <w:rPr>
          <w:b w:val="0"/>
          <w:bCs w:val="0"/>
          <w:i w:val="0"/>
          <w:color w:val="000000"/>
          <w:spacing w:val="3"/>
          <w:sz w:val="24"/>
        </w:rPr>
        <w:t xml:space="preserve"> тыс. руб. (-</w:t>
      </w:r>
      <w:r w:rsidR="009C1CC0">
        <w:rPr>
          <w:b w:val="0"/>
          <w:bCs w:val="0"/>
          <w:i w:val="0"/>
          <w:color w:val="000000"/>
          <w:spacing w:val="3"/>
          <w:sz w:val="24"/>
        </w:rPr>
        <w:t>13,5</w:t>
      </w:r>
      <w:r w:rsidRPr="0034491A">
        <w:rPr>
          <w:b w:val="0"/>
          <w:bCs w:val="0"/>
          <w:i w:val="0"/>
          <w:color w:val="000000"/>
          <w:spacing w:val="3"/>
          <w:sz w:val="24"/>
        </w:rPr>
        <w:t>%)</w:t>
      </w:r>
      <w:r>
        <w:rPr>
          <w:b w:val="0"/>
          <w:bCs w:val="0"/>
          <w:i w:val="0"/>
          <w:color w:val="000000"/>
          <w:spacing w:val="3"/>
          <w:sz w:val="24"/>
        </w:rPr>
        <w:t>;</w:t>
      </w:r>
      <w:r w:rsidRPr="0034491A">
        <w:rPr>
          <w:b w:val="0"/>
          <w:i w:val="0"/>
          <w:sz w:val="24"/>
        </w:rPr>
        <w:t xml:space="preserve"> </w:t>
      </w:r>
      <w:r>
        <w:rPr>
          <w:b w:val="0"/>
          <w:i w:val="0"/>
          <w:color w:val="000000"/>
          <w:spacing w:val="3"/>
          <w:sz w:val="24"/>
        </w:rPr>
        <w:t xml:space="preserve">на 2022 год в сумме </w:t>
      </w:r>
      <w:r w:rsidR="009C1CC0">
        <w:rPr>
          <w:b w:val="0"/>
          <w:i w:val="0"/>
          <w:color w:val="000000"/>
          <w:spacing w:val="3"/>
          <w:sz w:val="24"/>
        </w:rPr>
        <w:t>9018,3</w:t>
      </w:r>
      <w:r>
        <w:rPr>
          <w:b w:val="0"/>
          <w:i w:val="0"/>
          <w:color w:val="000000"/>
          <w:spacing w:val="3"/>
          <w:sz w:val="24"/>
        </w:rPr>
        <w:t xml:space="preserve"> тыс. руб., со снижением к 2021г. на </w:t>
      </w:r>
      <w:r w:rsidR="009C1CC0">
        <w:rPr>
          <w:b w:val="0"/>
          <w:i w:val="0"/>
          <w:color w:val="000000"/>
          <w:spacing w:val="3"/>
          <w:sz w:val="24"/>
        </w:rPr>
        <w:t>360,3</w:t>
      </w:r>
      <w:r>
        <w:rPr>
          <w:b w:val="0"/>
          <w:i w:val="0"/>
          <w:color w:val="000000"/>
          <w:spacing w:val="3"/>
          <w:sz w:val="24"/>
        </w:rPr>
        <w:t xml:space="preserve"> тыс. руб. (-</w:t>
      </w:r>
      <w:r w:rsidR="009C1CC0">
        <w:rPr>
          <w:b w:val="0"/>
          <w:i w:val="0"/>
          <w:color w:val="000000"/>
          <w:spacing w:val="3"/>
          <w:sz w:val="24"/>
        </w:rPr>
        <w:t>3,8</w:t>
      </w:r>
      <w:r>
        <w:rPr>
          <w:b w:val="0"/>
          <w:i w:val="0"/>
          <w:color w:val="000000"/>
          <w:spacing w:val="3"/>
          <w:sz w:val="24"/>
        </w:rPr>
        <w:t xml:space="preserve">%), на 2023 год в сумме </w:t>
      </w:r>
      <w:r w:rsidR="009C1CC0">
        <w:rPr>
          <w:b w:val="0"/>
          <w:i w:val="0"/>
          <w:color w:val="000000"/>
          <w:spacing w:val="3"/>
          <w:sz w:val="24"/>
        </w:rPr>
        <w:t>8840,1</w:t>
      </w:r>
      <w:r>
        <w:rPr>
          <w:b w:val="0"/>
          <w:i w:val="0"/>
          <w:color w:val="000000"/>
          <w:spacing w:val="3"/>
          <w:sz w:val="24"/>
        </w:rPr>
        <w:t xml:space="preserve"> тыс. руб., со снижением к 2022г. на </w:t>
      </w:r>
      <w:r w:rsidR="009C1CC0">
        <w:rPr>
          <w:b w:val="0"/>
          <w:i w:val="0"/>
          <w:color w:val="000000"/>
          <w:spacing w:val="3"/>
          <w:sz w:val="24"/>
        </w:rPr>
        <w:t>178,2</w:t>
      </w:r>
      <w:r>
        <w:rPr>
          <w:b w:val="0"/>
          <w:i w:val="0"/>
          <w:color w:val="000000"/>
          <w:spacing w:val="3"/>
          <w:sz w:val="24"/>
        </w:rPr>
        <w:t xml:space="preserve"> тыс. руб. (-</w:t>
      </w:r>
      <w:r w:rsidR="009C1CC0">
        <w:rPr>
          <w:b w:val="0"/>
          <w:i w:val="0"/>
          <w:color w:val="000000"/>
          <w:spacing w:val="3"/>
          <w:sz w:val="24"/>
        </w:rPr>
        <w:t>2</w:t>
      </w:r>
      <w:r>
        <w:rPr>
          <w:b w:val="0"/>
          <w:i w:val="0"/>
          <w:color w:val="000000"/>
          <w:spacing w:val="3"/>
          <w:sz w:val="24"/>
        </w:rPr>
        <w:t>%) –</w:t>
      </w:r>
      <w:r w:rsidR="009C1CC0">
        <w:rPr>
          <w:b w:val="0"/>
          <w:i w:val="0"/>
          <w:color w:val="000000"/>
          <w:spacing w:val="3"/>
          <w:sz w:val="24"/>
        </w:rPr>
        <w:t xml:space="preserve"> </w:t>
      </w:r>
      <w:r w:rsidRPr="0034491A">
        <w:rPr>
          <w:b w:val="0"/>
          <w:i w:val="0"/>
          <w:sz w:val="24"/>
        </w:rPr>
        <w:t xml:space="preserve">за счет </w:t>
      </w:r>
      <w:r>
        <w:rPr>
          <w:b w:val="0"/>
          <w:i w:val="0"/>
          <w:color w:val="000000"/>
          <w:spacing w:val="3"/>
          <w:sz w:val="24"/>
        </w:rPr>
        <w:t>снижения</w:t>
      </w:r>
      <w:r w:rsidRPr="0034491A">
        <w:rPr>
          <w:b w:val="0"/>
          <w:i w:val="0"/>
          <w:color w:val="000000"/>
          <w:spacing w:val="3"/>
          <w:sz w:val="24"/>
        </w:rPr>
        <w:t xml:space="preserve"> объема безвозмездных поступлений в местный бюджет</w:t>
      </w:r>
      <w:r>
        <w:rPr>
          <w:b w:val="0"/>
          <w:i w:val="0"/>
          <w:color w:val="000000"/>
          <w:spacing w:val="3"/>
          <w:sz w:val="24"/>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44286D">
        <w:t>1</w:t>
      </w:r>
      <w:r w:rsidR="00B1300B">
        <w:t>-2023</w:t>
      </w:r>
      <w:r>
        <w:t xml:space="preserve"> </w:t>
      </w:r>
      <w:r w:rsidR="0044286D" w:rsidRPr="00466605">
        <w:t>год</w:t>
      </w:r>
      <w:r w:rsidR="00B1300B">
        <w:t>ы</w:t>
      </w:r>
      <w:r>
        <w:t xml:space="preserve"> представлен</w:t>
      </w:r>
      <w:r w:rsidR="0044286D" w:rsidRPr="00466605">
        <w:t xml:space="preserve"> в таблице</w:t>
      </w:r>
      <w:r w:rsidR="0044286D">
        <w:t xml:space="preserve"> 2:</w:t>
      </w:r>
    </w:p>
    <w:p w:rsidR="0044286D" w:rsidRPr="00466605" w:rsidRDefault="0026490A" w:rsidP="0026490A">
      <w:pPr>
        <w:widowControl w:val="0"/>
        <w:numPr>
          <w:ilvl w:val="12"/>
          <w:numId w:val="0"/>
        </w:numPr>
        <w:ind w:firstLine="720"/>
        <w:jc w:val="right"/>
        <w:rPr>
          <w:i/>
        </w:rPr>
      </w:pPr>
      <w:r>
        <w:t>таблица</w:t>
      </w:r>
      <w:r w:rsidR="0044286D" w:rsidRPr="00466605">
        <w:rPr>
          <w:i/>
        </w:rPr>
        <w:t xml:space="preserve"> </w:t>
      </w:r>
      <w:r w:rsidR="0044286D">
        <w:rPr>
          <w:i/>
        </w:rPr>
        <w:t>2</w:t>
      </w:r>
      <w:r w:rsidR="0044286D" w:rsidRPr="00466605">
        <w:rPr>
          <w:i/>
        </w:rPr>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31390C">
            <w:pPr>
              <w:widowControl w:val="0"/>
              <w:numPr>
                <w:ilvl w:val="12"/>
                <w:numId w:val="0"/>
              </w:numPr>
              <w:jc w:val="center"/>
              <w:rPr>
                <w:i/>
                <w:sz w:val="20"/>
                <w:szCs w:val="20"/>
              </w:rPr>
            </w:pPr>
            <w:r>
              <w:rPr>
                <w:i/>
                <w:sz w:val="20"/>
                <w:szCs w:val="20"/>
              </w:rPr>
              <w:t>Оценка 2020г.</w:t>
            </w:r>
          </w:p>
        </w:tc>
        <w:tc>
          <w:tcPr>
            <w:tcW w:w="992" w:type="dxa"/>
          </w:tcPr>
          <w:p w:rsidR="00B1300B" w:rsidRPr="0044286D" w:rsidRDefault="00B1300B" w:rsidP="0031390C">
            <w:pPr>
              <w:widowControl w:val="0"/>
              <w:numPr>
                <w:ilvl w:val="12"/>
                <w:numId w:val="0"/>
              </w:numPr>
              <w:jc w:val="center"/>
              <w:rPr>
                <w:i/>
                <w:sz w:val="20"/>
                <w:szCs w:val="20"/>
              </w:rPr>
            </w:pPr>
            <w:r w:rsidRPr="0044286D">
              <w:rPr>
                <w:i/>
                <w:sz w:val="20"/>
                <w:szCs w:val="20"/>
              </w:rPr>
              <w:t>Проект на 202</w:t>
            </w:r>
            <w:r>
              <w:rPr>
                <w:i/>
                <w:sz w:val="20"/>
                <w:szCs w:val="20"/>
              </w:rPr>
              <w:t>1</w:t>
            </w:r>
            <w:r w:rsidRPr="0044286D">
              <w:rPr>
                <w:i/>
                <w:sz w:val="20"/>
                <w:szCs w:val="20"/>
              </w:rPr>
              <w:t>г.</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w:t>
            </w:r>
          </w:p>
        </w:tc>
        <w:tc>
          <w:tcPr>
            <w:tcW w:w="992" w:type="dxa"/>
          </w:tcPr>
          <w:p w:rsidR="00B1300B" w:rsidRPr="0044286D" w:rsidRDefault="00B1300B" w:rsidP="0031390C">
            <w:pPr>
              <w:widowControl w:val="0"/>
              <w:numPr>
                <w:ilvl w:val="12"/>
                <w:numId w:val="0"/>
              </w:numPr>
              <w:jc w:val="center"/>
              <w:rPr>
                <w:i/>
                <w:sz w:val="20"/>
                <w:szCs w:val="20"/>
              </w:rPr>
            </w:pPr>
            <w:r>
              <w:rPr>
                <w:i/>
                <w:sz w:val="20"/>
                <w:szCs w:val="20"/>
              </w:rPr>
              <w:t>2021 /к оценке 2020, %</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2</w:t>
            </w:r>
            <w:r w:rsidRPr="0044286D">
              <w:rPr>
                <w:i/>
                <w:sz w:val="20"/>
                <w:szCs w:val="20"/>
              </w:rPr>
              <w:t>г.</w:t>
            </w:r>
          </w:p>
        </w:tc>
        <w:tc>
          <w:tcPr>
            <w:tcW w:w="992" w:type="dxa"/>
            <w:vAlign w:val="center"/>
          </w:tcPr>
          <w:p w:rsidR="00B1300B" w:rsidRPr="0044286D" w:rsidRDefault="00B1300B" w:rsidP="00B1300B">
            <w:pPr>
              <w:widowControl w:val="0"/>
              <w:numPr>
                <w:ilvl w:val="12"/>
                <w:numId w:val="0"/>
              </w:numPr>
              <w:jc w:val="center"/>
              <w:rPr>
                <w:i/>
                <w:sz w:val="20"/>
                <w:szCs w:val="20"/>
              </w:rPr>
            </w:pPr>
            <w:r w:rsidRPr="0044286D">
              <w:rPr>
                <w:i/>
                <w:sz w:val="20"/>
                <w:szCs w:val="20"/>
              </w:rPr>
              <w:t>Проект на 202</w:t>
            </w:r>
            <w:r>
              <w:rPr>
                <w:i/>
                <w:sz w:val="20"/>
                <w:szCs w:val="20"/>
              </w:rPr>
              <w:t>3</w:t>
            </w:r>
            <w:r w:rsidRPr="0044286D">
              <w:rPr>
                <w:i/>
                <w:sz w:val="20"/>
                <w:szCs w:val="20"/>
              </w:rPr>
              <w:t>г.</w:t>
            </w:r>
          </w:p>
        </w:tc>
      </w:tr>
      <w:tr w:rsidR="00CD3597" w:rsidRPr="00466605" w:rsidTr="00E85B1E">
        <w:tc>
          <w:tcPr>
            <w:tcW w:w="3652" w:type="dxa"/>
          </w:tcPr>
          <w:p w:rsidR="00CD3597" w:rsidRPr="001F1DA0" w:rsidRDefault="00CD3597" w:rsidP="0031390C">
            <w:pPr>
              <w:widowControl w:val="0"/>
              <w:numPr>
                <w:ilvl w:val="12"/>
                <w:numId w:val="0"/>
              </w:numPr>
              <w:rPr>
                <w:b/>
                <w:sz w:val="18"/>
                <w:szCs w:val="18"/>
              </w:rPr>
            </w:pPr>
            <w:r w:rsidRPr="001F1DA0">
              <w:rPr>
                <w:b/>
                <w:sz w:val="18"/>
                <w:szCs w:val="18"/>
              </w:rPr>
              <w:t>Всего доходов</w:t>
            </w:r>
          </w:p>
        </w:tc>
        <w:tc>
          <w:tcPr>
            <w:tcW w:w="992" w:type="dxa"/>
            <w:vAlign w:val="center"/>
          </w:tcPr>
          <w:p w:rsidR="00CD3597" w:rsidRPr="001F1DA0" w:rsidRDefault="00CD3597" w:rsidP="0031390C">
            <w:pPr>
              <w:widowControl w:val="0"/>
              <w:numPr>
                <w:ilvl w:val="12"/>
                <w:numId w:val="0"/>
              </w:numPr>
              <w:jc w:val="center"/>
              <w:rPr>
                <w:b/>
                <w:sz w:val="20"/>
                <w:szCs w:val="20"/>
              </w:rPr>
            </w:pPr>
            <w:r>
              <w:rPr>
                <w:b/>
                <w:sz w:val="20"/>
                <w:szCs w:val="20"/>
              </w:rPr>
              <w:t>10836,5</w:t>
            </w:r>
          </w:p>
        </w:tc>
        <w:tc>
          <w:tcPr>
            <w:tcW w:w="992" w:type="dxa"/>
            <w:vAlign w:val="center"/>
          </w:tcPr>
          <w:p w:rsidR="00CD3597" w:rsidRPr="001F1DA0" w:rsidRDefault="00CD3597" w:rsidP="0031390C">
            <w:pPr>
              <w:widowControl w:val="0"/>
              <w:numPr>
                <w:ilvl w:val="12"/>
                <w:numId w:val="0"/>
              </w:numPr>
              <w:jc w:val="center"/>
              <w:rPr>
                <w:b/>
                <w:sz w:val="20"/>
                <w:szCs w:val="20"/>
              </w:rPr>
            </w:pPr>
            <w:r>
              <w:rPr>
                <w:b/>
                <w:sz w:val="20"/>
                <w:szCs w:val="20"/>
              </w:rPr>
              <w:t>9378,6</w:t>
            </w:r>
          </w:p>
        </w:tc>
        <w:tc>
          <w:tcPr>
            <w:tcW w:w="992" w:type="dxa"/>
            <w:vAlign w:val="bottom"/>
          </w:tcPr>
          <w:p w:rsidR="00CD3597" w:rsidRPr="00CD3597" w:rsidRDefault="00CD3597">
            <w:pPr>
              <w:jc w:val="right"/>
              <w:rPr>
                <w:b/>
                <w:sz w:val="18"/>
                <w:szCs w:val="18"/>
              </w:rPr>
            </w:pPr>
            <w:r w:rsidRPr="00CD3597">
              <w:rPr>
                <w:b/>
                <w:sz w:val="18"/>
                <w:szCs w:val="18"/>
              </w:rPr>
              <w:t>-1457,9</w:t>
            </w:r>
          </w:p>
        </w:tc>
        <w:tc>
          <w:tcPr>
            <w:tcW w:w="992" w:type="dxa"/>
            <w:vAlign w:val="bottom"/>
          </w:tcPr>
          <w:p w:rsidR="00CD3597" w:rsidRPr="00CD3597" w:rsidRDefault="00CD3597">
            <w:pPr>
              <w:jc w:val="right"/>
              <w:rPr>
                <w:b/>
                <w:sz w:val="18"/>
                <w:szCs w:val="18"/>
              </w:rPr>
            </w:pPr>
            <w:r w:rsidRPr="00CD3597">
              <w:rPr>
                <w:b/>
                <w:sz w:val="18"/>
                <w:szCs w:val="18"/>
              </w:rPr>
              <w:t>86,5</w:t>
            </w:r>
          </w:p>
        </w:tc>
        <w:tc>
          <w:tcPr>
            <w:tcW w:w="992" w:type="dxa"/>
            <w:vAlign w:val="center"/>
          </w:tcPr>
          <w:p w:rsidR="00CD3597" w:rsidRPr="001F1DA0" w:rsidRDefault="00CD3597" w:rsidP="003831EF">
            <w:pPr>
              <w:tabs>
                <w:tab w:val="left" w:pos="9923"/>
              </w:tabs>
              <w:ind w:right="-3"/>
              <w:jc w:val="center"/>
              <w:rPr>
                <w:b/>
                <w:sz w:val="20"/>
                <w:szCs w:val="20"/>
              </w:rPr>
            </w:pPr>
            <w:r>
              <w:rPr>
                <w:b/>
                <w:sz w:val="20"/>
                <w:szCs w:val="20"/>
              </w:rPr>
              <w:t>9018,3</w:t>
            </w:r>
          </w:p>
        </w:tc>
        <w:tc>
          <w:tcPr>
            <w:tcW w:w="992" w:type="dxa"/>
            <w:vAlign w:val="center"/>
          </w:tcPr>
          <w:p w:rsidR="00CD3597" w:rsidRPr="001F1DA0" w:rsidRDefault="00CD3597" w:rsidP="003831EF">
            <w:pPr>
              <w:jc w:val="center"/>
              <w:rPr>
                <w:b/>
                <w:sz w:val="20"/>
                <w:szCs w:val="20"/>
              </w:rPr>
            </w:pPr>
            <w:r>
              <w:rPr>
                <w:b/>
                <w:sz w:val="20"/>
                <w:szCs w:val="20"/>
              </w:rPr>
              <w:t>8840,1</w:t>
            </w:r>
          </w:p>
        </w:tc>
      </w:tr>
      <w:tr w:rsidR="00CD3597" w:rsidRPr="00466605" w:rsidTr="00E85B1E">
        <w:tc>
          <w:tcPr>
            <w:tcW w:w="3652" w:type="dxa"/>
          </w:tcPr>
          <w:p w:rsidR="00CD3597" w:rsidRPr="003831EF" w:rsidRDefault="00CD3597" w:rsidP="0031390C">
            <w:pPr>
              <w:widowControl w:val="0"/>
              <w:numPr>
                <w:ilvl w:val="12"/>
                <w:numId w:val="0"/>
              </w:numPr>
              <w:rPr>
                <w:sz w:val="18"/>
                <w:szCs w:val="18"/>
              </w:rPr>
            </w:pPr>
            <w:r w:rsidRPr="003831EF">
              <w:rPr>
                <w:sz w:val="18"/>
                <w:szCs w:val="18"/>
              </w:rPr>
              <w:t>Налоговые и неналоговые доходы, в т.ч.:</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1064,8</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1075,9</w:t>
            </w:r>
          </w:p>
        </w:tc>
        <w:tc>
          <w:tcPr>
            <w:tcW w:w="992" w:type="dxa"/>
            <w:vAlign w:val="bottom"/>
          </w:tcPr>
          <w:p w:rsidR="00CD3597" w:rsidRPr="00CD3597" w:rsidRDefault="00CD3597">
            <w:pPr>
              <w:jc w:val="right"/>
              <w:rPr>
                <w:sz w:val="18"/>
                <w:szCs w:val="18"/>
              </w:rPr>
            </w:pPr>
            <w:r w:rsidRPr="00CD3597">
              <w:rPr>
                <w:sz w:val="18"/>
                <w:szCs w:val="18"/>
              </w:rPr>
              <w:t>11,1</w:t>
            </w:r>
          </w:p>
        </w:tc>
        <w:tc>
          <w:tcPr>
            <w:tcW w:w="992" w:type="dxa"/>
            <w:vAlign w:val="bottom"/>
          </w:tcPr>
          <w:p w:rsidR="00CD3597" w:rsidRPr="00CD3597" w:rsidRDefault="00CD3597" w:rsidP="00CD3597">
            <w:pPr>
              <w:jc w:val="right"/>
              <w:rPr>
                <w:sz w:val="18"/>
                <w:szCs w:val="18"/>
              </w:rPr>
            </w:pPr>
            <w:r w:rsidRPr="00CD3597">
              <w:rPr>
                <w:sz w:val="18"/>
                <w:szCs w:val="18"/>
              </w:rPr>
              <w:t>101</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1113</w:t>
            </w:r>
          </w:p>
        </w:tc>
        <w:tc>
          <w:tcPr>
            <w:tcW w:w="992" w:type="dxa"/>
            <w:vAlign w:val="center"/>
          </w:tcPr>
          <w:p w:rsidR="00CD3597" w:rsidRPr="003831EF" w:rsidRDefault="00CD3597" w:rsidP="003831EF">
            <w:pPr>
              <w:jc w:val="center"/>
              <w:rPr>
                <w:sz w:val="20"/>
                <w:szCs w:val="20"/>
              </w:rPr>
            </w:pPr>
            <w:r>
              <w:rPr>
                <w:sz w:val="20"/>
                <w:szCs w:val="20"/>
              </w:rPr>
              <w:t>1148,8</w:t>
            </w:r>
          </w:p>
        </w:tc>
      </w:tr>
      <w:tr w:rsidR="00CD3597" w:rsidRPr="00466605" w:rsidTr="00E85B1E">
        <w:tc>
          <w:tcPr>
            <w:tcW w:w="3652" w:type="dxa"/>
          </w:tcPr>
          <w:p w:rsidR="00CD3597" w:rsidRPr="003831EF" w:rsidRDefault="00CD3597" w:rsidP="004042C4">
            <w:pPr>
              <w:widowControl w:val="0"/>
              <w:numPr>
                <w:ilvl w:val="12"/>
                <w:numId w:val="0"/>
              </w:numPr>
              <w:rPr>
                <w:i/>
                <w:sz w:val="18"/>
                <w:szCs w:val="18"/>
              </w:rPr>
            </w:pPr>
            <w:r w:rsidRPr="003831EF">
              <w:rPr>
                <w:i/>
                <w:sz w:val="18"/>
                <w:szCs w:val="18"/>
              </w:rPr>
              <w:t>налоговые доходы, в т.ч.:</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1023,2</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1063,9</w:t>
            </w:r>
          </w:p>
        </w:tc>
        <w:tc>
          <w:tcPr>
            <w:tcW w:w="992" w:type="dxa"/>
            <w:vAlign w:val="bottom"/>
          </w:tcPr>
          <w:p w:rsidR="00CD3597" w:rsidRPr="00CD3597" w:rsidRDefault="00CD3597">
            <w:pPr>
              <w:jc w:val="right"/>
              <w:rPr>
                <w:sz w:val="18"/>
                <w:szCs w:val="18"/>
              </w:rPr>
            </w:pPr>
            <w:r w:rsidRPr="00CD3597">
              <w:rPr>
                <w:sz w:val="18"/>
                <w:szCs w:val="18"/>
              </w:rPr>
              <w:t>40,7</w:t>
            </w:r>
          </w:p>
        </w:tc>
        <w:tc>
          <w:tcPr>
            <w:tcW w:w="992" w:type="dxa"/>
            <w:vAlign w:val="bottom"/>
          </w:tcPr>
          <w:p w:rsidR="00CD3597" w:rsidRPr="00CD3597" w:rsidRDefault="00CD3597" w:rsidP="00CD3597">
            <w:pPr>
              <w:jc w:val="right"/>
              <w:rPr>
                <w:sz w:val="18"/>
                <w:szCs w:val="18"/>
              </w:rPr>
            </w:pPr>
            <w:r w:rsidRPr="00CD3597">
              <w:rPr>
                <w:sz w:val="18"/>
                <w:szCs w:val="18"/>
              </w:rPr>
              <w:t>104</w:t>
            </w:r>
          </w:p>
        </w:tc>
        <w:tc>
          <w:tcPr>
            <w:tcW w:w="992" w:type="dxa"/>
            <w:vAlign w:val="center"/>
          </w:tcPr>
          <w:p w:rsidR="00CD3597" w:rsidRPr="003831EF" w:rsidRDefault="00CD3597" w:rsidP="00F432F5">
            <w:pPr>
              <w:tabs>
                <w:tab w:val="left" w:pos="9923"/>
              </w:tabs>
              <w:ind w:right="-3"/>
              <w:jc w:val="center"/>
              <w:rPr>
                <w:sz w:val="20"/>
                <w:szCs w:val="20"/>
              </w:rPr>
            </w:pPr>
            <w:r>
              <w:rPr>
                <w:sz w:val="20"/>
                <w:szCs w:val="20"/>
              </w:rPr>
              <w:t>1101</w:t>
            </w:r>
          </w:p>
        </w:tc>
        <w:tc>
          <w:tcPr>
            <w:tcW w:w="992" w:type="dxa"/>
            <w:vAlign w:val="center"/>
          </w:tcPr>
          <w:p w:rsidR="00CD3597" w:rsidRPr="003831EF" w:rsidRDefault="00CD3597" w:rsidP="003831EF">
            <w:pPr>
              <w:jc w:val="center"/>
              <w:rPr>
                <w:sz w:val="20"/>
                <w:szCs w:val="20"/>
              </w:rPr>
            </w:pPr>
            <w:r>
              <w:rPr>
                <w:sz w:val="20"/>
                <w:szCs w:val="20"/>
              </w:rPr>
              <w:t>1136,8</w:t>
            </w:r>
          </w:p>
        </w:tc>
      </w:tr>
      <w:tr w:rsidR="00CD3597" w:rsidRPr="00466605" w:rsidTr="00E85B1E">
        <w:tc>
          <w:tcPr>
            <w:tcW w:w="3652" w:type="dxa"/>
            <w:vAlign w:val="center"/>
          </w:tcPr>
          <w:p w:rsidR="00CD3597" w:rsidRPr="003831EF" w:rsidRDefault="00CD3597" w:rsidP="0031390C">
            <w:pPr>
              <w:snapToGrid w:val="0"/>
              <w:rPr>
                <w:sz w:val="18"/>
                <w:szCs w:val="18"/>
              </w:rPr>
            </w:pPr>
            <w:r w:rsidRPr="003831EF">
              <w:rPr>
                <w:sz w:val="18"/>
                <w:szCs w:val="18"/>
              </w:rPr>
              <w:t>Налог на доходы физических лиц</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300</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315</w:t>
            </w:r>
          </w:p>
        </w:tc>
        <w:tc>
          <w:tcPr>
            <w:tcW w:w="992" w:type="dxa"/>
            <w:vAlign w:val="bottom"/>
          </w:tcPr>
          <w:p w:rsidR="00CD3597" w:rsidRPr="00CD3597" w:rsidRDefault="00CD3597">
            <w:pPr>
              <w:jc w:val="right"/>
              <w:rPr>
                <w:sz w:val="18"/>
                <w:szCs w:val="18"/>
              </w:rPr>
            </w:pPr>
            <w:r w:rsidRPr="00CD3597">
              <w:rPr>
                <w:sz w:val="18"/>
                <w:szCs w:val="18"/>
              </w:rPr>
              <w:t>15</w:t>
            </w:r>
          </w:p>
        </w:tc>
        <w:tc>
          <w:tcPr>
            <w:tcW w:w="992" w:type="dxa"/>
            <w:vAlign w:val="bottom"/>
          </w:tcPr>
          <w:p w:rsidR="00CD3597" w:rsidRPr="00CD3597" w:rsidRDefault="00CD3597" w:rsidP="00CD3597">
            <w:pPr>
              <w:jc w:val="right"/>
              <w:rPr>
                <w:sz w:val="18"/>
                <w:szCs w:val="18"/>
              </w:rPr>
            </w:pPr>
            <w:r w:rsidRPr="00CD3597">
              <w:rPr>
                <w:sz w:val="18"/>
                <w:szCs w:val="18"/>
              </w:rPr>
              <w:t>105</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324</w:t>
            </w:r>
          </w:p>
        </w:tc>
        <w:tc>
          <w:tcPr>
            <w:tcW w:w="992" w:type="dxa"/>
            <w:vAlign w:val="center"/>
          </w:tcPr>
          <w:p w:rsidR="00CD3597" w:rsidRPr="003831EF" w:rsidRDefault="00CD3597" w:rsidP="003831EF">
            <w:pPr>
              <w:jc w:val="center"/>
              <w:rPr>
                <w:sz w:val="20"/>
                <w:szCs w:val="20"/>
              </w:rPr>
            </w:pPr>
            <w:r>
              <w:rPr>
                <w:sz w:val="20"/>
                <w:szCs w:val="20"/>
              </w:rPr>
              <w:t>330</w:t>
            </w:r>
          </w:p>
        </w:tc>
      </w:tr>
      <w:tr w:rsidR="00CD3597" w:rsidRPr="00466605" w:rsidTr="00E85B1E">
        <w:tc>
          <w:tcPr>
            <w:tcW w:w="3652" w:type="dxa"/>
            <w:vAlign w:val="center"/>
          </w:tcPr>
          <w:p w:rsidR="00CD3597" w:rsidRPr="003831EF" w:rsidRDefault="00CD3597"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449,2</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444,9</w:t>
            </w:r>
          </w:p>
        </w:tc>
        <w:tc>
          <w:tcPr>
            <w:tcW w:w="992" w:type="dxa"/>
            <w:vAlign w:val="bottom"/>
          </w:tcPr>
          <w:p w:rsidR="00CD3597" w:rsidRPr="00CD3597" w:rsidRDefault="00CD3597">
            <w:pPr>
              <w:jc w:val="right"/>
              <w:rPr>
                <w:sz w:val="18"/>
                <w:szCs w:val="18"/>
              </w:rPr>
            </w:pPr>
            <w:r w:rsidRPr="00CD3597">
              <w:rPr>
                <w:sz w:val="18"/>
                <w:szCs w:val="18"/>
              </w:rPr>
              <w:t>-4,3</w:t>
            </w:r>
          </w:p>
        </w:tc>
        <w:tc>
          <w:tcPr>
            <w:tcW w:w="992" w:type="dxa"/>
            <w:vAlign w:val="bottom"/>
          </w:tcPr>
          <w:p w:rsidR="00CD3597" w:rsidRPr="00CD3597" w:rsidRDefault="00CD3597" w:rsidP="00CD3597">
            <w:pPr>
              <w:jc w:val="right"/>
              <w:rPr>
                <w:sz w:val="18"/>
                <w:szCs w:val="18"/>
              </w:rPr>
            </w:pPr>
            <w:r w:rsidRPr="00CD3597">
              <w:rPr>
                <w:sz w:val="18"/>
                <w:szCs w:val="18"/>
              </w:rPr>
              <w:t>99</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463</w:t>
            </w:r>
          </w:p>
        </w:tc>
        <w:tc>
          <w:tcPr>
            <w:tcW w:w="992" w:type="dxa"/>
            <w:vAlign w:val="center"/>
          </w:tcPr>
          <w:p w:rsidR="00CD3597" w:rsidRPr="003831EF" w:rsidRDefault="00CD3597" w:rsidP="003831EF">
            <w:pPr>
              <w:jc w:val="center"/>
              <w:rPr>
                <w:sz w:val="20"/>
                <w:szCs w:val="20"/>
              </w:rPr>
            </w:pPr>
            <w:r>
              <w:rPr>
                <w:sz w:val="20"/>
                <w:szCs w:val="20"/>
              </w:rPr>
              <w:t>492,8</w:t>
            </w:r>
          </w:p>
        </w:tc>
      </w:tr>
      <w:tr w:rsidR="00CD3597" w:rsidRPr="00466605" w:rsidTr="00E85B1E">
        <w:tc>
          <w:tcPr>
            <w:tcW w:w="3652" w:type="dxa"/>
            <w:vAlign w:val="center"/>
          </w:tcPr>
          <w:p w:rsidR="00CD3597" w:rsidRPr="003831EF" w:rsidRDefault="00CD3597" w:rsidP="0031390C">
            <w:pPr>
              <w:snapToGrid w:val="0"/>
              <w:rPr>
                <w:sz w:val="18"/>
                <w:szCs w:val="18"/>
              </w:rPr>
            </w:pPr>
            <w:r w:rsidRPr="003831EF">
              <w:rPr>
                <w:sz w:val="18"/>
                <w:szCs w:val="18"/>
              </w:rPr>
              <w:t>Налоги на имущество, в т.ч.:</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274</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304</w:t>
            </w:r>
          </w:p>
        </w:tc>
        <w:tc>
          <w:tcPr>
            <w:tcW w:w="992" w:type="dxa"/>
            <w:vAlign w:val="bottom"/>
          </w:tcPr>
          <w:p w:rsidR="00CD3597" w:rsidRPr="00CD3597" w:rsidRDefault="00CD3597">
            <w:pPr>
              <w:jc w:val="right"/>
              <w:rPr>
                <w:sz w:val="18"/>
                <w:szCs w:val="18"/>
              </w:rPr>
            </w:pPr>
            <w:r w:rsidRPr="00CD3597">
              <w:rPr>
                <w:sz w:val="18"/>
                <w:szCs w:val="18"/>
              </w:rPr>
              <w:t>30</w:t>
            </w:r>
          </w:p>
        </w:tc>
        <w:tc>
          <w:tcPr>
            <w:tcW w:w="992" w:type="dxa"/>
            <w:vAlign w:val="bottom"/>
          </w:tcPr>
          <w:p w:rsidR="00CD3597" w:rsidRPr="00CD3597" w:rsidRDefault="00CD3597">
            <w:pPr>
              <w:jc w:val="right"/>
              <w:rPr>
                <w:sz w:val="18"/>
                <w:szCs w:val="18"/>
              </w:rPr>
            </w:pPr>
            <w:r w:rsidRPr="00CD3597">
              <w:rPr>
                <w:sz w:val="18"/>
                <w:szCs w:val="18"/>
              </w:rPr>
              <w:t>110,9</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314</w:t>
            </w:r>
          </w:p>
        </w:tc>
        <w:tc>
          <w:tcPr>
            <w:tcW w:w="992" w:type="dxa"/>
            <w:vAlign w:val="center"/>
          </w:tcPr>
          <w:p w:rsidR="00CD3597" w:rsidRPr="003831EF" w:rsidRDefault="00CD3597" w:rsidP="003831EF">
            <w:pPr>
              <w:jc w:val="center"/>
              <w:rPr>
                <w:sz w:val="20"/>
                <w:szCs w:val="20"/>
              </w:rPr>
            </w:pPr>
            <w:r>
              <w:rPr>
                <w:sz w:val="20"/>
                <w:szCs w:val="20"/>
              </w:rPr>
              <w:t>314</w:t>
            </w:r>
          </w:p>
        </w:tc>
      </w:tr>
      <w:tr w:rsidR="00CD3597" w:rsidRPr="00466605" w:rsidTr="00E85B1E">
        <w:tc>
          <w:tcPr>
            <w:tcW w:w="3652" w:type="dxa"/>
          </w:tcPr>
          <w:p w:rsidR="00CD3597" w:rsidRPr="003831EF" w:rsidRDefault="00CD3597"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15</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15</w:t>
            </w:r>
          </w:p>
        </w:tc>
        <w:tc>
          <w:tcPr>
            <w:tcW w:w="992" w:type="dxa"/>
            <w:vAlign w:val="bottom"/>
          </w:tcPr>
          <w:p w:rsidR="00CD3597" w:rsidRPr="00CD3597" w:rsidRDefault="00CD3597">
            <w:pPr>
              <w:jc w:val="right"/>
              <w:rPr>
                <w:sz w:val="18"/>
                <w:szCs w:val="18"/>
              </w:rPr>
            </w:pPr>
            <w:r w:rsidRPr="00CD3597">
              <w:rPr>
                <w:sz w:val="18"/>
                <w:szCs w:val="18"/>
              </w:rPr>
              <w:t>0,0</w:t>
            </w:r>
          </w:p>
        </w:tc>
        <w:tc>
          <w:tcPr>
            <w:tcW w:w="992" w:type="dxa"/>
            <w:vAlign w:val="bottom"/>
          </w:tcPr>
          <w:p w:rsidR="00CD3597" w:rsidRPr="00CD3597" w:rsidRDefault="00CD3597" w:rsidP="00CD3597">
            <w:pPr>
              <w:jc w:val="right"/>
              <w:rPr>
                <w:sz w:val="18"/>
                <w:szCs w:val="18"/>
              </w:rPr>
            </w:pPr>
            <w:r w:rsidRPr="00CD3597">
              <w:rPr>
                <w:sz w:val="18"/>
                <w:szCs w:val="18"/>
              </w:rPr>
              <w:t>100</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15</w:t>
            </w:r>
          </w:p>
        </w:tc>
        <w:tc>
          <w:tcPr>
            <w:tcW w:w="992" w:type="dxa"/>
            <w:vAlign w:val="center"/>
          </w:tcPr>
          <w:p w:rsidR="00CD3597" w:rsidRPr="003831EF" w:rsidRDefault="00CD3597" w:rsidP="003831EF">
            <w:pPr>
              <w:jc w:val="center"/>
              <w:rPr>
                <w:sz w:val="20"/>
                <w:szCs w:val="20"/>
              </w:rPr>
            </w:pPr>
            <w:r>
              <w:rPr>
                <w:sz w:val="20"/>
                <w:szCs w:val="20"/>
              </w:rPr>
              <w:t>15</w:t>
            </w:r>
          </w:p>
        </w:tc>
      </w:tr>
      <w:tr w:rsidR="00CD3597" w:rsidRPr="00466605" w:rsidTr="00E85B1E">
        <w:tc>
          <w:tcPr>
            <w:tcW w:w="3652" w:type="dxa"/>
          </w:tcPr>
          <w:p w:rsidR="00CD3597" w:rsidRPr="003831EF" w:rsidRDefault="00CD3597"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193</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223</w:t>
            </w:r>
          </w:p>
        </w:tc>
        <w:tc>
          <w:tcPr>
            <w:tcW w:w="992" w:type="dxa"/>
            <w:vAlign w:val="bottom"/>
          </w:tcPr>
          <w:p w:rsidR="00CD3597" w:rsidRPr="00CD3597" w:rsidRDefault="00CD3597">
            <w:pPr>
              <w:jc w:val="right"/>
              <w:rPr>
                <w:sz w:val="18"/>
                <w:szCs w:val="18"/>
              </w:rPr>
            </w:pPr>
            <w:r w:rsidRPr="00CD3597">
              <w:rPr>
                <w:sz w:val="18"/>
                <w:szCs w:val="18"/>
              </w:rPr>
              <w:t>30</w:t>
            </w:r>
          </w:p>
        </w:tc>
        <w:tc>
          <w:tcPr>
            <w:tcW w:w="992" w:type="dxa"/>
            <w:vAlign w:val="bottom"/>
          </w:tcPr>
          <w:p w:rsidR="00CD3597" w:rsidRPr="00CD3597" w:rsidRDefault="00CD3597">
            <w:pPr>
              <w:jc w:val="right"/>
              <w:rPr>
                <w:sz w:val="18"/>
                <w:szCs w:val="18"/>
              </w:rPr>
            </w:pPr>
            <w:r w:rsidRPr="00CD3597">
              <w:rPr>
                <w:sz w:val="18"/>
                <w:szCs w:val="18"/>
              </w:rPr>
              <w:t>115,5</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233</w:t>
            </w:r>
          </w:p>
        </w:tc>
        <w:tc>
          <w:tcPr>
            <w:tcW w:w="992" w:type="dxa"/>
            <w:vAlign w:val="center"/>
          </w:tcPr>
          <w:p w:rsidR="00CD3597" w:rsidRPr="003831EF" w:rsidRDefault="00CD3597" w:rsidP="003831EF">
            <w:pPr>
              <w:jc w:val="center"/>
              <w:rPr>
                <w:sz w:val="20"/>
                <w:szCs w:val="20"/>
              </w:rPr>
            </w:pPr>
            <w:r>
              <w:rPr>
                <w:sz w:val="20"/>
                <w:szCs w:val="20"/>
              </w:rPr>
              <w:t>233</w:t>
            </w:r>
          </w:p>
        </w:tc>
      </w:tr>
      <w:tr w:rsidR="00CD3597" w:rsidRPr="00466605" w:rsidTr="00E85B1E">
        <w:tc>
          <w:tcPr>
            <w:tcW w:w="3652" w:type="dxa"/>
          </w:tcPr>
          <w:p w:rsidR="00CD3597" w:rsidRPr="003831EF" w:rsidRDefault="00CD3597"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66</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66</w:t>
            </w:r>
          </w:p>
        </w:tc>
        <w:tc>
          <w:tcPr>
            <w:tcW w:w="992" w:type="dxa"/>
            <w:vAlign w:val="bottom"/>
          </w:tcPr>
          <w:p w:rsidR="00CD3597" w:rsidRPr="00CD3597" w:rsidRDefault="00CD3597">
            <w:pPr>
              <w:jc w:val="right"/>
              <w:rPr>
                <w:sz w:val="18"/>
                <w:szCs w:val="18"/>
              </w:rPr>
            </w:pPr>
            <w:r w:rsidRPr="00CD3597">
              <w:rPr>
                <w:sz w:val="18"/>
                <w:szCs w:val="18"/>
              </w:rPr>
              <w:t>0,0</w:t>
            </w:r>
          </w:p>
        </w:tc>
        <w:tc>
          <w:tcPr>
            <w:tcW w:w="992" w:type="dxa"/>
            <w:vAlign w:val="bottom"/>
          </w:tcPr>
          <w:p w:rsidR="00CD3597" w:rsidRPr="00CD3597" w:rsidRDefault="00CD3597" w:rsidP="00CD3597">
            <w:pPr>
              <w:jc w:val="right"/>
              <w:rPr>
                <w:sz w:val="18"/>
                <w:szCs w:val="18"/>
              </w:rPr>
            </w:pPr>
            <w:r w:rsidRPr="00CD3597">
              <w:rPr>
                <w:sz w:val="18"/>
                <w:szCs w:val="18"/>
              </w:rPr>
              <w:t>100</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66</w:t>
            </w:r>
          </w:p>
        </w:tc>
        <w:tc>
          <w:tcPr>
            <w:tcW w:w="992" w:type="dxa"/>
            <w:vAlign w:val="center"/>
          </w:tcPr>
          <w:p w:rsidR="00CD3597" w:rsidRPr="003831EF" w:rsidRDefault="00CD3597" w:rsidP="003831EF">
            <w:pPr>
              <w:jc w:val="center"/>
              <w:rPr>
                <w:sz w:val="20"/>
                <w:szCs w:val="20"/>
              </w:rPr>
            </w:pPr>
            <w:r>
              <w:rPr>
                <w:sz w:val="20"/>
                <w:szCs w:val="20"/>
              </w:rPr>
              <w:t>66</w:t>
            </w:r>
          </w:p>
        </w:tc>
      </w:tr>
      <w:tr w:rsidR="00CD3597" w:rsidRPr="00466605" w:rsidTr="00E85B1E">
        <w:tc>
          <w:tcPr>
            <w:tcW w:w="3652" w:type="dxa"/>
            <w:vAlign w:val="bottom"/>
          </w:tcPr>
          <w:p w:rsidR="00CD3597" w:rsidRPr="003831EF" w:rsidRDefault="00CD3597" w:rsidP="0031390C">
            <w:pPr>
              <w:snapToGrid w:val="0"/>
              <w:rPr>
                <w:i/>
                <w:sz w:val="18"/>
                <w:szCs w:val="18"/>
              </w:rPr>
            </w:pPr>
            <w:r w:rsidRPr="003831EF">
              <w:rPr>
                <w:i/>
                <w:sz w:val="18"/>
                <w:szCs w:val="18"/>
              </w:rPr>
              <w:t>неналоговые доходы, в т.ч.:</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41,6</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12</w:t>
            </w:r>
          </w:p>
        </w:tc>
        <w:tc>
          <w:tcPr>
            <w:tcW w:w="992" w:type="dxa"/>
            <w:vAlign w:val="bottom"/>
          </w:tcPr>
          <w:p w:rsidR="00CD3597" w:rsidRPr="00CD3597" w:rsidRDefault="00CD3597">
            <w:pPr>
              <w:jc w:val="right"/>
              <w:rPr>
                <w:sz w:val="18"/>
                <w:szCs w:val="18"/>
              </w:rPr>
            </w:pPr>
            <w:r w:rsidRPr="00CD3597">
              <w:rPr>
                <w:sz w:val="18"/>
                <w:szCs w:val="18"/>
              </w:rPr>
              <w:t>-29,6</w:t>
            </w:r>
          </w:p>
        </w:tc>
        <w:tc>
          <w:tcPr>
            <w:tcW w:w="992" w:type="dxa"/>
            <w:vAlign w:val="bottom"/>
          </w:tcPr>
          <w:p w:rsidR="00CD3597" w:rsidRPr="00CD3597" w:rsidRDefault="00CD3597">
            <w:pPr>
              <w:jc w:val="right"/>
              <w:rPr>
                <w:sz w:val="18"/>
                <w:szCs w:val="18"/>
              </w:rPr>
            </w:pPr>
            <w:r w:rsidRPr="00CD3597">
              <w:rPr>
                <w:sz w:val="18"/>
                <w:szCs w:val="18"/>
              </w:rPr>
              <w:t>28,8</w:t>
            </w:r>
          </w:p>
        </w:tc>
        <w:tc>
          <w:tcPr>
            <w:tcW w:w="992" w:type="dxa"/>
            <w:vAlign w:val="center"/>
          </w:tcPr>
          <w:p w:rsidR="00CD3597" w:rsidRPr="003831EF" w:rsidRDefault="00CD3597" w:rsidP="003831EF">
            <w:pPr>
              <w:tabs>
                <w:tab w:val="left" w:pos="9923"/>
              </w:tabs>
              <w:ind w:right="-3"/>
              <w:jc w:val="center"/>
              <w:rPr>
                <w:sz w:val="20"/>
                <w:szCs w:val="20"/>
              </w:rPr>
            </w:pPr>
            <w:r>
              <w:rPr>
                <w:sz w:val="20"/>
                <w:szCs w:val="20"/>
              </w:rPr>
              <w:t>12</w:t>
            </w:r>
          </w:p>
        </w:tc>
        <w:tc>
          <w:tcPr>
            <w:tcW w:w="992" w:type="dxa"/>
            <w:vAlign w:val="center"/>
          </w:tcPr>
          <w:p w:rsidR="00CD3597" w:rsidRPr="003831EF" w:rsidRDefault="00CD3597" w:rsidP="003831EF">
            <w:pPr>
              <w:jc w:val="center"/>
              <w:rPr>
                <w:sz w:val="20"/>
                <w:szCs w:val="20"/>
              </w:rPr>
            </w:pPr>
            <w:r>
              <w:rPr>
                <w:sz w:val="20"/>
                <w:szCs w:val="20"/>
              </w:rPr>
              <w:t>12</w:t>
            </w:r>
          </w:p>
        </w:tc>
      </w:tr>
      <w:tr w:rsidR="00CD3597" w:rsidRPr="00466605" w:rsidTr="00E85B1E">
        <w:tc>
          <w:tcPr>
            <w:tcW w:w="3652" w:type="dxa"/>
            <w:vAlign w:val="bottom"/>
          </w:tcPr>
          <w:p w:rsidR="00CD3597" w:rsidRPr="004A2CC3" w:rsidRDefault="00CD3597"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CD3597" w:rsidRPr="004A2CC3" w:rsidRDefault="00CD3597" w:rsidP="0031390C">
            <w:pPr>
              <w:widowControl w:val="0"/>
              <w:numPr>
                <w:ilvl w:val="12"/>
                <w:numId w:val="0"/>
              </w:numPr>
              <w:jc w:val="center"/>
              <w:rPr>
                <w:sz w:val="18"/>
                <w:szCs w:val="18"/>
              </w:rPr>
            </w:pPr>
            <w:r>
              <w:rPr>
                <w:sz w:val="18"/>
                <w:szCs w:val="18"/>
              </w:rPr>
              <w:t>41,6</w:t>
            </w:r>
          </w:p>
        </w:tc>
        <w:tc>
          <w:tcPr>
            <w:tcW w:w="992" w:type="dxa"/>
            <w:vAlign w:val="center"/>
          </w:tcPr>
          <w:p w:rsidR="00CD3597" w:rsidRPr="004A2CC3" w:rsidRDefault="00CD3597" w:rsidP="0031390C">
            <w:pPr>
              <w:widowControl w:val="0"/>
              <w:numPr>
                <w:ilvl w:val="12"/>
                <w:numId w:val="0"/>
              </w:numPr>
              <w:jc w:val="center"/>
              <w:rPr>
                <w:sz w:val="18"/>
                <w:szCs w:val="18"/>
              </w:rPr>
            </w:pPr>
            <w:r>
              <w:rPr>
                <w:sz w:val="18"/>
                <w:szCs w:val="18"/>
              </w:rPr>
              <w:t>12</w:t>
            </w:r>
          </w:p>
        </w:tc>
        <w:tc>
          <w:tcPr>
            <w:tcW w:w="992" w:type="dxa"/>
            <w:vAlign w:val="bottom"/>
          </w:tcPr>
          <w:p w:rsidR="00CD3597" w:rsidRPr="00CD3597" w:rsidRDefault="00CD3597">
            <w:pPr>
              <w:jc w:val="right"/>
              <w:rPr>
                <w:sz w:val="18"/>
                <w:szCs w:val="18"/>
              </w:rPr>
            </w:pPr>
            <w:r w:rsidRPr="00CD3597">
              <w:rPr>
                <w:sz w:val="18"/>
                <w:szCs w:val="18"/>
              </w:rPr>
              <w:t>-29,6</w:t>
            </w:r>
          </w:p>
        </w:tc>
        <w:tc>
          <w:tcPr>
            <w:tcW w:w="992" w:type="dxa"/>
            <w:vAlign w:val="bottom"/>
          </w:tcPr>
          <w:p w:rsidR="00CD3597" w:rsidRPr="00CD3597" w:rsidRDefault="00CD3597">
            <w:pPr>
              <w:jc w:val="right"/>
              <w:rPr>
                <w:sz w:val="18"/>
                <w:szCs w:val="18"/>
              </w:rPr>
            </w:pPr>
            <w:r w:rsidRPr="00CD3597">
              <w:rPr>
                <w:sz w:val="18"/>
                <w:szCs w:val="18"/>
              </w:rPr>
              <w:t>28,8</w:t>
            </w:r>
          </w:p>
        </w:tc>
        <w:tc>
          <w:tcPr>
            <w:tcW w:w="992" w:type="dxa"/>
            <w:vAlign w:val="center"/>
          </w:tcPr>
          <w:p w:rsidR="00CD3597" w:rsidRPr="004A2CC3" w:rsidRDefault="00CD3597" w:rsidP="003831EF">
            <w:pPr>
              <w:tabs>
                <w:tab w:val="left" w:pos="9923"/>
              </w:tabs>
              <w:ind w:right="-3"/>
              <w:jc w:val="center"/>
              <w:rPr>
                <w:sz w:val="18"/>
                <w:szCs w:val="18"/>
              </w:rPr>
            </w:pPr>
            <w:r>
              <w:rPr>
                <w:sz w:val="18"/>
                <w:szCs w:val="18"/>
              </w:rPr>
              <w:t>12</w:t>
            </w:r>
          </w:p>
        </w:tc>
        <w:tc>
          <w:tcPr>
            <w:tcW w:w="992" w:type="dxa"/>
            <w:vAlign w:val="center"/>
          </w:tcPr>
          <w:p w:rsidR="00CD3597" w:rsidRPr="004A2CC3" w:rsidRDefault="00CD3597" w:rsidP="003831EF">
            <w:pPr>
              <w:jc w:val="center"/>
              <w:rPr>
                <w:sz w:val="18"/>
                <w:szCs w:val="18"/>
              </w:rPr>
            </w:pPr>
            <w:r>
              <w:rPr>
                <w:sz w:val="18"/>
                <w:szCs w:val="18"/>
              </w:rPr>
              <w:t>12</w:t>
            </w:r>
          </w:p>
        </w:tc>
      </w:tr>
      <w:tr w:rsidR="00CD3597" w:rsidRPr="00466605" w:rsidTr="00E85B1E">
        <w:tc>
          <w:tcPr>
            <w:tcW w:w="3652" w:type="dxa"/>
          </w:tcPr>
          <w:p w:rsidR="00CD3597" w:rsidRPr="003831EF" w:rsidRDefault="00CD3597" w:rsidP="0031390C">
            <w:pPr>
              <w:widowControl w:val="0"/>
              <w:numPr>
                <w:ilvl w:val="12"/>
                <w:numId w:val="0"/>
              </w:numPr>
              <w:rPr>
                <w:sz w:val="18"/>
                <w:szCs w:val="18"/>
              </w:rPr>
            </w:pPr>
            <w:r w:rsidRPr="003831EF">
              <w:rPr>
                <w:sz w:val="18"/>
                <w:szCs w:val="18"/>
              </w:rPr>
              <w:t>Безвозмездные поступления, в т.ч.:</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9771,7</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8302,7</w:t>
            </w:r>
          </w:p>
        </w:tc>
        <w:tc>
          <w:tcPr>
            <w:tcW w:w="992" w:type="dxa"/>
            <w:vAlign w:val="bottom"/>
          </w:tcPr>
          <w:p w:rsidR="00CD3597" w:rsidRPr="00CD3597" w:rsidRDefault="00CD3597">
            <w:pPr>
              <w:jc w:val="right"/>
              <w:rPr>
                <w:sz w:val="18"/>
                <w:szCs w:val="18"/>
              </w:rPr>
            </w:pPr>
            <w:r w:rsidRPr="00CD3597">
              <w:rPr>
                <w:sz w:val="18"/>
                <w:szCs w:val="18"/>
              </w:rPr>
              <w:t>-1469</w:t>
            </w:r>
          </w:p>
        </w:tc>
        <w:tc>
          <w:tcPr>
            <w:tcW w:w="992" w:type="dxa"/>
            <w:vAlign w:val="bottom"/>
          </w:tcPr>
          <w:p w:rsidR="00CD3597" w:rsidRPr="00CD3597" w:rsidRDefault="00CD3597" w:rsidP="00CD3597">
            <w:pPr>
              <w:jc w:val="right"/>
              <w:rPr>
                <w:sz w:val="18"/>
                <w:szCs w:val="18"/>
              </w:rPr>
            </w:pPr>
            <w:r w:rsidRPr="00CD3597">
              <w:rPr>
                <w:sz w:val="18"/>
                <w:szCs w:val="18"/>
              </w:rPr>
              <w:t>85</w:t>
            </w:r>
          </w:p>
        </w:tc>
        <w:tc>
          <w:tcPr>
            <w:tcW w:w="992" w:type="dxa"/>
            <w:vAlign w:val="center"/>
          </w:tcPr>
          <w:p w:rsidR="00CD3597" w:rsidRPr="003831EF" w:rsidRDefault="00CD3597" w:rsidP="003831EF">
            <w:pPr>
              <w:snapToGrid w:val="0"/>
              <w:jc w:val="center"/>
              <w:rPr>
                <w:bCs/>
                <w:sz w:val="20"/>
                <w:szCs w:val="20"/>
              </w:rPr>
            </w:pPr>
            <w:r>
              <w:rPr>
                <w:bCs/>
                <w:sz w:val="20"/>
                <w:szCs w:val="20"/>
              </w:rPr>
              <w:t>7905,3</w:t>
            </w:r>
          </w:p>
        </w:tc>
        <w:tc>
          <w:tcPr>
            <w:tcW w:w="992" w:type="dxa"/>
            <w:vAlign w:val="center"/>
          </w:tcPr>
          <w:p w:rsidR="00CD3597" w:rsidRPr="003831EF" w:rsidRDefault="00CD3597" w:rsidP="003831EF">
            <w:pPr>
              <w:jc w:val="center"/>
              <w:rPr>
                <w:sz w:val="20"/>
                <w:szCs w:val="20"/>
              </w:rPr>
            </w:pPr>
            <w:r>
              <w:rPr>
                <w:sz w:val="20"/>
                <w:szCs w:val="20"/>
              </w:rPr>
              <w:t>7691,3</w:t>
            </w:r>
          </w:p>
        </w:tc>
      </w:tr>
      <w:tr w:rsidR="00CD3597" w:rsidRPr="00466605" w:rsidTr="00E85B1E">
        <w:tc>
          <w:tcPr>
            <w:tcW w:w="3652" w:type="dxa"/>
          </w:tcPr>
          <w:p w:rsidR="00CD3597" w:rsidRPr="003831EF" w:rsidRDefault="00CD3597"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6060,2</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5824,7</w:t>
            </w:r>
          </w:p>
        </w:tc>
        <w:tc>
          <w:tcPr>
            <w:tcW w:w="992" w:type="dxa"/>
            <w:vAlign w:val="bottom"/>
          </w:tcPr>
          <w:p w:rsidR="00CD3597" w:rsidRPr="00CD3597" w:rsidRDefault="00CD3597">
            <w:pPr>
              <w:jc w:val="right"/>
              <w:rPr>
                <w:sz w:val="18"/>
                <w:szCs w:val="18"/>
              </w:rPr>
            </w:pPr>
            <w:r w:rsidRPr="00CD3597">
              <w:rPr>
                <w:sz w:val="18"/>
                <w:szCs w:val="18"/>
              </w:rPr>
              <w:t>-235,5</w:t>
            </w:r>
          </w:p>
        </w:tc>
        <w:tc>
          <w:tcPr>
            <w:tcW w:w="992" w:type="dxa"/>
            <w:vAlign w:val="bottom"/>
          </w:tcPr>
          <w:p w:rsidR="00CD3597" w:rsidRPr="00CD3597" w:rsidRDefault="00CD3597">
            <w:pPr>
              <w:jc w:val="right"/>
              <w:rPr>
                <w:sz w:val="18"/>
                <w:szCs w:val="18"/>
              </w:rPr>
            </w:pPr>
            <w:r w:rsidRPr="00CD3597">
              <w:rPr>
                <w:sz w:val="18"/>
                <w:szCs w:val="18"/>
              </w:rPr>
              <w:t>96,1</w:t>
            </w:r>
          </w:p>
        </w:tc>
        <w:tc>
          <w:tcPr>
            <w:tcW w:w="992" w:type="dxa"/>
            <w:vAlign w:val="center"/>
          </w:tcPr>
          <w:p w:rsidR="00CD3597" w:rsidRPr="003831EF" w:rsidRDefault="00CD3597" w:rsidP="003831EF">
            <w:pPr>
              <w:snapToGrid w:val="0"/>
              <w:jc w:val="center"/>
              <w:rPr>
                <w:bCs/>
                <w:sz w:val="20"/>
                <w:szCs w:val="20"/>
              </w:rPr>
            </w:pPr>
            <w:r>
              <w:rPr>
                <w:bCs/>
                <w:sz w:val="20"/>
                <w:szCs w:val="20"/>
              </w:rPr>
              <w:t>5325,8</w:t>
            </w:r>
          </w:p>
        </w:tc>
        <w:tc>
          <w:tcPr>
            <w:tcW w:w="992" w:type="dxa"/>
            <w:vAlign w:val="center"/>
          </w:tcPr>
          <w:p w:rsidR="00CD3597" w:rsidRPr="003831EF" w:rsidRDefault="00CD3597" w:rsidP="003831EF">
            <w:pPr>
              <w:jc w:val="center"/>
              <w:rPr>
                <w:sz w:val="20"/>
                <w:szCs w:val="20"/>
              </w:rPr>
            </w:pPr>
            <w:r>
              <w:rPr>
                <w:sz w:val="20"/>
                <w:szCs w:val="20"/>
              </w:rPr>
              <w:t>5306,1</w:t>
            </w:r>
          </w:p>
        </w:tc>
      </w:tr>
      <w:tr w:rsidR="00CD3597" w:rsidRPr="00466605" w:rsidTr="00E85B1E">
        <w:tc>
          <w:tcPr>
            <w:tcW w:w="3652" w:type="dxa"/>
          </w:tcPr>
          <w:p w:rsidR="00CD3597" w:rsidRPr="003831EF" w:rsidRDefault="00CD3597"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437,4</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200</w:t>
            </w:r>
          </w:p>
        </w:tc>
        <w:tc>
          <w:tcPr>
            <w:tcW w:w="992" w:type="dxa"/>
            <w:vAlign w:val="bottom"/>
          </w:tcPr>
          <w:p w:rsidR="00CD3597" w:rsidRPr="00CD3597" w:rsidRDefault="00CD3597">
            <w:pPr>
              <w:jc w:val="right"/>
              <w:rPr>
                <w:sz w:val="18"/>
                <w:szCs w:val="18"/>
              </w:rPr>
            </w:pPr>
            <w:r w:rsidRPr="00CD3597">
              <w:rPr>
                <w:sz w:val="18"/>
                <w:szCs w:val="18"/>
              </w:rPr>
              <w:t>-237,4</w:t>
            </w:r>
          </w:p>
        </w:tc>
        <w:tc>
          <w:tcPr>
            <w:tcW w:w="992" w:type="dxa"/>
            <w:vAlign w:val="bottom"/>
          </w:tcPr>
          <w:p w:rsidR="00CD3597" w:rsidRPr="00CD3597" w:rsidRDefault="00CD3597">
            <w:pPr>
              <w:jc w:val="right"/>
              <w:rPr>
                <w:sz w:val="18"/>
                <w:szCs w:val="18"/>
              </w:rPr>
            </w:pPr>
            <w:r w:rsidRPr="00CD3597">
              <w:rPr>
                <w:sz w:val="18"/>
                <w:szCs w:val="18"/>
              </w:rPr>
              <w:t>45,7</w:t>
            </w:r>
          </w:p>
        </w:tc>
        <w:tc>
          <w:tcPr>
            <w:tcW w:w="992" w:type="dxa"/>
            <w:vAlign w:val="center"/>
          </w:tcPr>
          <w:p w:rsidR="00CD3597" w:rsidRPr="003831EF" w:rsidRDefault="00CD3597" w:rsidP="003831EF">
            <w:pPr>
              <w:snapToGrid w:val="0"/>
              <w:jc w:val="center"/>
              <w:rPr>
                <w:bCs/>
                <w:sz w:val="20"/>
                <w:szCs w:val="20"/>
              </w:rPr>
            </w:pPr>
            <w:r>
              <w:rPr>
                <w:bCs/>
                <w:sz w:val="20"/>
                <w:szCs w:val="20"/>
              </w:rPr>
              <w:t>200</w:t>
            </w:r>
          </w:p>
        </w:tc>
        <w:tc>
          <w:tcPr>
            <w:tcW w:w="992" w:type="dxa"/>
            <w:vAlign w:val="center"/>
          </w:tcPr>
          <w:p w:rsidR="00CD3597" w:rsidRPr="003831EF" w:rsidRDefault="00CD3597" w:rsidP="003831EF">
            <w:pPr>
              <w:jc w:val="center"/>
              <w:rPr>
                <w:sz w:val="20"/>
                <w:szCs w:val="20"/>
              </w:rPr>
            </w:pPr>
            <w:r>
              <w:rPr>
                <w:sz w:val="20"/>
                <w:szCs w:val="20"/>
              </w:rPr>
              <w:t>200</w:t>
            </w:r>
          </w:p>
        </w:tc>
      </w:tr>
      <w:tr w:rsidR="00CD3597" w:rsidRPr="00466605" w:rsidTr="00E85B1E">
        <w:tc>
          <w:tcPr>
            <w:tcW w:w="3652" w:type="dxa"/>
          </w:tcPr>
          <w:p w:rsidR="00CD3597" w:rsidRPr="003831EF" w:rsidRDefault="00CD3597"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134,8</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138</w:t>
            </w:r>
          </w:p>
        </w:tc>
        <w:tc>
          <w:tcPr>
            <w:tcW w:w="992" w:type="dxa"/>
            <w:vAlign w:val="bottom"/>
          </w:tcPr>
          <w:p w:rsidR="00CD3597" w:rsidRPr="00CD3597" w:rsidRDefault="00CD3597">
            <w:pPr>
              <w:jc w:val="right"/>
              <w:rPr>
                <w:sz w:val="18"/>
                <w:szCs w:val="18"/>
              </w:rPr>
            </w:pPr>
            <w:r w:rsidRPr="00CD3597">
              <w:rPr>
                <w:sz w:val="18"/>
                <w:szCs w:val="18"/>
              </w:rPr>
              <w:t>3,2</w:t>
            </w:r>
          </w:p>
        </w:tc>
        <w:tc>
          <w:tcPr>
            <w:tcW w:w="992" w:type="dxa"/>
            <w:vAlign w:val="bottom"/>
          </w:tcPr>
          <w:p w:rsidR="00CD3597" w:rsidRPr="00CD3597" w:rsidRDefault="00CD3597">
            <w:pPr>
              <w:jc w:val="right"/>
              <w:rPr>
                <w:sz w:val="18"/>
                <w:szCs w:val="18"/>
              </w:rPr>
            </w:pPr>
            <w:r w:rsidRPr="00CD3597">
              <w:rPr>
                <w:sz w:val="18"/>
                <w:szCs w:val="18"/>
              </w:rPr>
              <w:t>102,4</w:t>
            </w:r>
          </w:p>
        </w:tc>
        <w:tc>
          <w:tcPr>
            <w:tcW w:w="992" w:type="dxa"/>
            <w:vAlign w:val="center"/>
          </w:tcPr>
          <w:p w:rsidR="00CD3597" w:rsidRPr="003831EF" w:rsidRDefault="00CD3597" w:rsidP="003831EF">
            <w:pPr>
              <w:snapToGrid w:val="0"/>
              <w:jc w:val="center"/>
              <w:rPr>
                <w:bCs/>
                <w:sz w:val="20"/>
                <w:szCs w:val="20"/>
              </w:rPr>
            </w:pPr>
            <w:r>
              <w:rPr>
                <w:bCs/>
                <w:sz w:val="20"/>
                <w:szCs w:val="20"/>
              </w:rPr>
              <w:t>139,5</w:t>
            </w:r>
          </w:p>
        </w:tc>
        <w:tc>
          <w:tcPr>
            <w:tcW w:w="992" w:type="dxa"/>
            <w:vAlign w:val="center"/>
          </w:tcPr>
          <w:p w:rsidR="00CD3597" w:rsidRPr="003831EF" w:rsidRDefault="00CD3597" w:rsidP="003831EF">
            <w:pPr>
              <w:jc w:val="center"/>
              <w:rPr>
                <w:sz w:val="20"/>
                <w:szCs w:val="20"/>
              </w:rPr>
            </w:pPr>
            <w:r>
              <w:rPr>
                <w:sz w:val="20"/>
                <w:szCs w:val="20"/>
              </w:rPr>
              <w:t>145,2</w:t>
            </w:r>
          </w:p>
        </w:tc>
      </w:tr>
      <w:tr w:rsidR="00CD3597" w:rsidRPr="00466605" w:rsidTr="00E85B1E">
        <w:tc>
          <w:tcPr>
            <w:tcW w:w="3652" w:type="dxa"/>
          </w:tcPr>
          <w:p w:rsidR="00CD3597" w:rsidRPr="003831EF" w:rsidRDefault="00CD3597"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3139,3</w:t>
            </w:r>
          </w:p>
        </w:tc>
        <w:tc>
          <w:tcPr>
            <w:tcW w:w="992" w:type="dxa"/>
            <w:vAlign w:val="center"/>
          </w:tcPr>
          <w:p w:rsidR="00CD3597" w:rsidRPr="003831EF" w:rsidRDefault="00CD3597" w:rsidP="0031390C">
            <w:pPr>
              <w:widowControl w:val="0"/>
              <w:numPr>
                <w:ilvl w:val="12"/>
                <w:numId w:val="0"/>
              </w:numPr>
              <w:jc w:val="center"/>
              <w:rPr>
                <w:sz w:val="20"/>
                <w:szCs w:val="20"/>
              </w:rPr>
            </w:pPr>
            <w:r>
              <w:rPr>
                <w:sz w:val="20"/>
                <w:szCs w:val="20"/>
              </w:rPr>
              <w:t>2140</w:t>
            </w:r>
          </w:p>
        </w:tc>
        <w:tc>
          <w:tcPr>
            <w:tcW w:w="992" w:type="dxa"/>
            <w:vAlign w:val="bottom"/>
          </w:tcPr>
          <w:p w:rsidR="00CD3597" w:rsidRPr="00CD3597" w:rsidRDefault="00CD3597">
            <w:pPr>
              <w:jc w:val="right"/>
              <w:rPr>
                <w:sz w:val="18"/>
                <w:szCs w:val="18"/>
              </w:rPr>
            </w:pPr>
            <w:r w:rsidRPr="00CD3597">
              <w:rPr>
                <w:sz w:val="18"/>
                <w:szCs w:val="18"/>
              </w:rPr>
              <w:t>-999,3</w:t>
            </w:r>
          </w:p>
        </w:tc>
        <w:tc>
          <w:tcPr>
            <w:tcW w:w="992" w:type="dxa"/>
            <w:vAlign w:val="bottom"/>
          </w:tcPr>
          <w:p w:rsidR="00CD3597" w:rsidRPr="00CD3597" w:rsidRDefault="00CD3597">
            <w:pPr>
              <w:jc w:val="right"/>
              <w:rPr>
                <w:sz w:val="18"/>
                <w:szCs w:val="18"/>
              </w:rPr>
            </w:pPr>
            <w:r w:rsidRPr="00CD3597">
              <w:rPr>
                <w:sz w:val="18"/>
                <w:szCs w:val="18"/>
              </w:rPr>
              <w:t>68,2</w:t>
            </w:r>
          </w:p>
        </w:tc>
        <w:tc>
          <w:tcPr>
            <w:tcW w:w="992" w:type="dxa"/>
            <w:vAlign w:val="center"/>
          </w:tcPr>
          <w:p w:rsidR="00CD3597" w:rsidRPr="003831EF" w:rsidRDefault="00CD3597" w:rsidP="003831EF">
            <w:pPr>
              <w:snapToGrid w:val="0"/>
              <w:jc w:val="center"/>
              <w:rPr>
                <w:bCs/>
                <w:sz w:val="20"/>
                <w:szCs w:val="20"/>
              </w:rPr>
            </w:pPr>
            <w:r>
              <w:rPr>
                <w:bCs/>
                <w:sz w:val="20"/>
                <w:szCs w:val="20"/>
              </w:rPr>
              <w:t>2240</w:t>
            </w:r>
          </w:p>
        </w:tc>
        <w:tc>
          <w:tcPr>
            <w:tcW w:w="992" w:type="dxa"/>
            <w:vAlign w:val="center"/>
          </w:tcPr>
          <w:p w:rsidR="00CD3597" w:rsidRPr="003831EF" w:rsidRDefault="00CD3597" w:rsidP="003831EF">
            <w:pPr>
              <w:jc w:val="center"/>
              <w:rPr>
                <w:sz w:val="20"/>
                <w:szCs w:val="20"/>
              </w:rPr>
            </w:pPr>
            <w:r>
              <w:rPr>
                <w:sz w:val="20"/>
                <w:szCs w:val="20"/>
              </w:rPr>
              <w:t>2040</w:t>
            </w:r>
          </w:p>
        </w:tc>
      </w:tr>
    </w:tbl>
    <w:p w:rsidR="0026490A" w:rsidRDefault="0026490A" w:rsidP="0044286D">
      <w:pPr>
        <w:widowControl w:val="0"/>
        <w:numPr>
          <w:ilvl w:val="12"/>
          <w:numId w:val="0"/>
        </w:numPr>
        <w:ind w:firstLine="720"/>
        <w:jc w:val="both"/>
      </w:pPr>
    </w:p>
    <w:p w:rsidR="003A09E3" w:rsidRDefault="003A09E3" w:rsidP="003A09E3">
      <w:pPr>
        <w:widowControl w:val="0"/>
        <w:numPr>
          <w:ilvl w:val="12"/>
          <w:numId w:val="0"/>
        </w:numPr>
        <w:ind w:firstLine="567"/>
        <w:jc w:val="both"/>
      </w:pPr>
      <w:r w:rsidRPr="00113EB0">
        <w:t>Из анализа данных таблицы следует, что</w:t>
      </w:r>
      <w:r>
        <w:t>:</w:t>
      </w:r>
    </w:p>
    <w:p w:rsidR="003A09E3" w:rsidRDefault="003A09E3" w:rsidP="003A09E3">
      <w:pPr>
        <w:widowControl w:val="0"/>
        <w:numPr>
          <w:ilvl w:val="12"/>
          <w:numId w:val="0"/>
        </w:numPr>
        <w:ind w:firstLine="567"/>
        <w:jc w:val="both"/>
      </w:pPr>
      <w:r>
        <w:t>- о</w:t>
      </w:r>
      <w:r w:rsidRPr="00C5481A">
        <w:t>бъем налоговых доходов местного бюджета на 20</w:t>
      </w:r>
      <w:r>
        <w:t>2</w:t>
      </w:r>
      <w:r w:rsidR="001F1DA0">
        <w:t>1</w:t>
      </w:r>
      <w:r w:rsidRPr="00C5481A">
        <w:t xml:space="preserve"> год </w:t>
      </w:r>
      <w:r>
        <w:t xml:space="preserve">прогнозируется с </w:t>
      </w:r>
      <w:r w:rsidR="00D57F6F">
        <w:t>ростом</w:t>
      </w:r>
      <w:r>
        <w:t xml:space="preserve"> к </w:t>
      </w:r>
      <w:r w:rsidRPr="00C5481A">
        <w:t>оценк</w:t>
      </w:r>
      <w:r>
        <w:t>е</w:t>
      </w:r>
      <w:r w:rsidRPr="00C5481A">
        <w:t xml:space="preserve"> 20</w:t>
      </w:r>
      <w:r w:rsidR="001F1DA0">
        <w:t>20</w:t>
      </w:r>
      <w:r w:rsidRPr="00C5481A">
        <w:t xml:space="preserve"> года на </w:t>
      </w:r>
      <w:r w:rsidR="00D57F6F">
        <w:t>4</w:t>
      </w:r>
      <w:r w:rsidRPr="00C5481A">
        <w:t xml:space="preserve"> процентных пункт</w:t>
      </w:r>
      <w:r>
        <w:t xml:space="preserve">а, или на </w:t>
      </w:r>
      <w:r w:rsidR="00D57F6F">
        <w:t>40,7</w:t>
      </w:r>
      <w:r>
        <w:t xml:space="preserve"> тыс. рублей;</w:t>
      </w:r>
    </w:p>
    <w:p w:rsidR="003A09E3" w:rsidRDefault="003A09E3" w:rsidP="003A09E3">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t>2</w:t>
      </w:r>
      <w:r w:rsidR="001F1DA0">
        <w:t>1</w:t>
      </w:r>
      <w:r w:rsidRPr="00C5481A">
        <w:t xml:space="preserve"> год </w:t>
      </w:r>
      <w:r>
        <w:t xml:space="preserve">прогнозируется </w:t>
      </w:r>
      <w:r w:rsidR="001F1DA0">
        <w:t xml:space="preserve">со снижением </w:t>
      </w:r>
      <w:r>
        <w:t xml:space="preserve">к </w:t>
      </w:r>
      <w:r w:rsidRPr="00C5481A">
        <w:t>оценк</w:t>
      </w:r>
      <w:r>
        <w:t>е</w:t>
      </w:r>
      <w:r w:rsidRPr="00C5481A">
        <w:t xml:space="preserve"> 20</w:t>
      </w:r>
      <w:r w:rsidR="001F1DA0">
        <w:t>20</w:t>
      </w:r>
      <w:r w:rsidRPr="00C5481A">
        <w:t xml:space="preserve"> года </w:t>
      </w:r>
      <w:r>
        <w:t xml:space="preserve">на </w:t>
      </w:r>
      <w:r w:rsidR="00D57F6F">
        <w:t>29,6</w:t>
      </w:r>
      <w:r>
        <w:t xml:space="preserve"> тыс. руб</w:t>
      </w:r>
      <w:r w:rsidR="001F1DA0">
        <w:t>лей (-</w:t>
      </w:r>
      <w:r w:rsidR="00D57F6F">
        <w:t>71,2</w:t>
      </w:r>
      <w:r>
        <w:t>%)</w:t>
      </w:r>
      <w:r w:rsidR="001F1DA0">
        <w:t>.</w:t>
      </w:r>
    </w:p>
    <w:p w:rsidR="008E6987" w:rsidRPr="00B40D0A" w:rsidRDefault="008E6987" w:rsidP="008E6987">
      <w:pPr>
        <w:ind w:firstLine="567"/>
        <w:jc w:val="both"/>
      </w:pPr>
      <w:r w:rsidRPr="00B40D0A">
        <w:t xml:space="preserve">В трехлетней перспективе структура доходов бюджета </w:t>
      </w:r>
      <w:r w:rsidR="009A5EB2">
        <w:t>Знаменского</w:t>
      </w:r>
      <w:r w:rsidRPr="00B40D0A">
        <w:t xml:space="preserve"> муниципального образования кардинальных изменений не претерпит,</w:t>
      </w:r>
      <w:r w:rsidRPr="00C27AF6">
        <w:rPr>
          <w:color w:val="FF0000"/>
        </w:rPr>
        <w:t xml:space="preserve"> </w:t>
      </w:r>
      <w:r w:rsidRPr="00B40D0A">
        <w:t>традиционно преобладают безвозмездные поступления, доля которых в общей сумме доходов</w:t>
      </w:r>
      <w:r w:rsidRPr="00C27AF6">
        <w:rPr>
          <w:color w:val="FF0000"/>
        </w:rPr>
        <w:t xml:space="preserve"> </w:t>
      </w:r>
      <w:r w:rsidRPr="00B40D0A">
        <w:t>поселения в</w:t>
      </w:r>
      <w:r>
        <w:t xml:space="preserve"> 2019 году составила </w:t>
      </w:r>
      <w:r w:rsidR="00D57F6F">
        <w:t>89,9</w:t>
      </w:r>
      <w:r>
        <w:t xml:space="preserve">%, </w:t>
      </w:r>
      <w:r w:rsidRPr="00B40D0A">
        <w:t>в 2020 году</w:t>
      </w:r>
      <w:r>
        <w:t xml:space="preserve"> (оценка исполнения)</w:t>
      </w:r>
      <w:r w:rsidRPr="00B40D0A">
        <w:t xml:space="preserve"> </w:t>
      </w:r>
      <w:r>
        <w:t>составит</w:t>
      </w:r>
      <w:r w:rsidRPr="00B40D0A">
        <w:t xml:space="preserve"> </w:t>
      </w:r>
      <w:r w:rsidR="00D57F6F">
        <w:t>90,2</w:t>
      </w:r>
      <w:r w:rsidRPr="00B40D0A">
        <w:t>%,</w:t>
      </w:r>
      <w:r w:rsidRPr="00C27AF6">
        <w:rPr>
          <w:color w:val="FF0000"/>
        </w:rPr>
        <w:t xml:space="preserve"> </w:t>
      </w:r>
      <w:r w:rsidRPr="00B40D0A">
        <w:t xml:space="preserve">в 2021 году </w:t>
      </w:r>
      <w:r>
        <w:t xml:space="preserve">(прогноз) </w:t>
      </w:r>
      <w:r w:rsidRPr="00B40D0A">
        <w:t xml:space="preserve">– </w:t>
      </w:r>
      <w:r w:rsidR="00D57F6F">
        <w:t>88,5</w:t>
      </w:r>
      <w:r w:rsidRPr="00B40D0A">
        <w:t xml:space="preserve">%, в 2022 году </w:t>
      </w:r>
      <w:r>
        <w:t xml:space="preserve">(прогноз) </w:t>
      </w:r>
      <w:r w:rsidRPr="00B40D0A">
        <w:t xml:space="preserve">– </w:t>
      </w:r>
      <w:r w:rsidR="00D57F6F">
        <w:t>87,7</w:t>
      </w:r>
      <w:r w:rsidRPr="00B40D0A">
        <w:t>%,</w:t>
      </w:r>
      <w:r w:rsidRPr="00C27AF6">
        <w:rPr>
          <w:color w:val="FF0000"/>
        </w:rPr>
        <w:t xml:space="preserve"> </w:t>
      </w:r>
      <w:r w:rsidRPr="00B40D0A">
        <w:t xml:space="preserve">в 2023 году </w:t>
      </w:r>
      <w:r>
        <w:t xml:space="preserve">(прогноз) </w:t>
      </w:r>
      <w:r w:rsidRPr="00B40D0A">
        <w:t xml:space="preserve">– </w:t>
      </w:r>
      <w:r w:rsidR="00D57F6F">
        <w:t>87</w:t>
      </w:r>
      <w:r w:rsidRPr="00B40D0A">
        <w:t>%, что сохранит зависимость бюджета поселения от бюджет</w:t>
      </w:r>
      <w:r>
        <w:t>ов бюджетной системы РФ</w:t>
      </w:r>
      <w:r w:rsidRPr="00B40D0A">
        <w:t>.</w:t>
      </w:r>
    </w:p>
    <w:p w:rsidR="0044286D" w:rsidRPr="00466605" w:rsidRDefault="0044286D" w:rsidP="0044286D">
      <w:pPr>
        <w:widowControl w:val="0"/>
        <w:numPr>
          <w:ilvl w:val="12"/>
          <w:numId w:val="0"/>
        </w:numPr>
        <w:ind w:firstLine="720"/>
        <w:jc w:val="both"/>
      </w:pPr>
      <w:r>
        <w:t>Прогнозируется, что о</w:t>
      </w:r>
      <w:r w:rsidRPr="00466605">
        <w:t xml:space="preserve">сновную долю доходов в налоговых и неналоговых доходах местного бюджета будут составлять: </w:t>
      </w:r>
    </w:p>
    <w:p w:rsidR="001F1DA0" w:rsidRPr="00466605" w:rsidRDefault="001F1DA0" w:rsidP="001F1DA0">
      <w:pPr>
        <w:widowControl w:val="0"/>
        <w:ind w:firstLine="720"/>
        <w:jc w:val="both"/>
      </w:pPr>
      <w:r w:rsidRPr="00466605">
        <w:t xml:space="preserve">- доходы от </w:t>
      </w:r>
      <w:r>
        <w:t>уплаты акцизов</w:t>
      </w:r>
      <w:r w:rsidRPr="00466605">
        <w:t xml:space="preserve"> </w:t>
      </w:r>
      <w:r>
        <w:t xml:space="preserve">на дизельное топливо, моторные масла, автомобильный бензин и прямогонный бензин </w:t>
      </w:r>
      <w:r w:rsidRPr="00466605">
        <w:t>в 202</w:t>
      </w:r>
      <w:r>
        <w:t>1</w:t>
      </w:r>
      <w:r w:rsidRPr="00466605">
        <w:t xml:space="preserve"> году – </w:t>
      </w:r>
      <w:r w:rsidR="00282219">
        <w:t>41,4</w:t>
      </w:r>
      <w:r w:rsidRPr="00466605">
        <w:t>%</w:t>
      </w:r>
      <w:r>
        <w:t xml:space="preserve"> (или </w:t>
      </w:r>
      <w:r w:rsidR="00282219">
        <w:t>444,9</w:t>
      </w:r>
      <w:r>
        <w:t xml:space="preserve"> тыс. руб.)</w:t>
      </w:r>
      <w:r w:rsidRPr="00466605">
        <w:t>, в 202</w:t>
      </w:r>
      <w:r>
        <w:t>2г.</w:t>
      </w:r>
      <w:r w:rsidRPr="00466605">
        <w:t xml:space="preserve"> </w:t>
      </w:r>
      <w:r>
        <w:t xml:space="preserve">– </w:t>
      </w:r>
      <w:r w:rsidR="00282219">
        <w:t>41,6</w:t>
      </w:r>
      <w:r>
        <w:t>% (</w:t>
      </w:r>
      <w:r w:rsidR="00282219">
        <w:t>463</w:t>
      </w:r>
      <w:r>
        <w:t xml:space="preserve"> тыс. руб.), в 2023г. – </w:t>
      </w:r>
      <w:r w:rsidR="00282219">
        <w:t>42,9</w:t>
      </w:r>
      <w:r>
        <w:t>% (</w:t>
      </w:r>
      <w:r w:rsidR="00BD68C3">
        <w:t>492,8</w:t>
      </w:r>
      <w:r>
        <w:t xml:space="preserve"> тыс. руб.)</w:t>
      </w:r>
      <w:r w:rsidR="00282219">
        <w:t>,</w:t>
      </w:r>
    </w:p>
    <w:p w:rsidR="00282219" w:rsidRDefault="00282219" w:rsidP="00282219">
      <w:pPr>
        <w:widowControl w:val="0"/>
        <w:ind w:firstLine="720"/>
        <w:jc w:val="both"/>
      </w:pPr>
      <w:r w:rsidRPr="00466605">
        <w:t>- доходы от налога на доходы физических лиц в 202</w:t>
      </w:r>
      <w:r>
        <w:t>1</w:t>
      </w:r>
      <w:r w:rsidRPr="00466605">
        <w:t xml:space="preserve"> году – </w:t>
      </w:r>
      <w:r>
        <w:t>29,3</w:t>
      </w:r>
      <w:r w:rsidRPr="00466605">
        <w:t>%</w:t>
      </w:r>
      <w:r>
        <w:t xml:space="preserve"> (315 тыс. руб.)</w:t>
      </w:r>
      <w:r w:rsidRPr="00466605">
        <w:t>, в 202</w:t>
      </w:r>
      <w:r>
        <w:t>2</w:t>
      </w:r>
      <w:r w:rsidRPr="00466605">
        <w:t xml:space="preserve"> году – </w:t>
      </w:r>
      <w:r>
        <w:t>29,1</w:t>
      </w:r>
      <w:r w:rsidRPr="00466605">
        <w:t>%</w:t>
      </w:r>
      <w:r>
        <w:t xml:space="preserve"> (324 тыс. руб.)</w:t>
      </w:r>
      <w:r w:rsidRPr="00466605">
        <w:t>, в 202</w:t>
      </w:r>
      <w:r>
        <w:t>3</w:t>
      </w:r>
      <w:r w:rsidRPr="00466605">
        <w:t xml:space="preserve"> году – </w:t>
      </w:r>
      <w:r>
        <w:t>28,7</w:t>
      </w:r>
      <w:r w:rsidRPr="00466605">
        <w:t>%</w:t>
      </w:r>
      <w:r>
        <w:t xml:space="preserve"> (330 тыс. руб.),</w:t>
      </w:r>
    </w:p>
    <w:p w:rsidR="005A13E5" w:rsidRPr="00466605" w:rsidRDefault="005A13E5" w:rsidP="005A13E5">
      <w:pPr>
        <w:widowControl w:val="0"/>
        <w:ind w:firstLine="720"/>
        <w:jc w:val="both"/>
      </w:pPr>
      <w:r w:rsidRPr="00466605">
        <w:t xml:space="preserve">- доходы от </w:t>
      </w:r>
      <w:r>
        <w:t>налогов на</w:t>
      </w:r>
      <w:r w:rsidRPr="00466605">
        <w:t xml:space="preserve"> имуществ</w:t>
      </w:r>
      <w:r>
        <w:t>о</w:t>
      </w:r>
      <w:r w:rsidRPr="00466605">
        <w:t xml:space="preserve"> в 202</w:t>
      </w:r>
      <w:r>
        <w:t>1</w:t>
      </w:r>
      <w:r w:rsidRPr="00466605">
        <w:t xml:space="preserve"> году – </w:t>
      </w:r>
      <w:r w:rsidR="00282219">
        <w:t>28,3</w:t>
      </w:r>
      <w:r w:rsidRPr="00466605">
        <w:t>%</w:t>
      </w:r>
      <w:r>
        <w:t xml:space="preserve"> (</w:t>
      </w:r>
      <w:r w:rsidR="00282219">
        <w:t>304</w:t>
      </w:r>
      <w:r>
        <w:t xml:space="preserve"> тыс. руб.)</w:t>
      </w:r>
      <w:r w:rsidRPr="00466605">
        <w:t>, в 202</w:t>
      </w:r>
      <w:r>
        <w:t>2</w:t>
      </w:r>
      <w:r w:rsidRPr="00466605">
        <w:t xml:space="preserve"> году – </w:t>
      </w:r>
      <w:r w:rsidR="00282219">
        <w:t>28,2</w:t>
      </w:r>
      <w:r w:rsidRPr="00466605">
        <w:t>%</w:t>
      </w:r>
      <w:r>
        <w:t xml:space="preserve"> (</w:t>
      </w:r>
      <w:r w:rsidR="00282219">
        <w:t>314</w:t>
      </w:r>
      <w:r>
        <w:t xml:space="preserve"> тыс. руб.)</w:t>
      </w:r>
      <w:r w:rsidRPr="00466605">
        <w:t>, в 202</w:t>
      </w:r>
      <w:r>
        <w:t>3</w:t>
      </w:r>
      <w:r w:rsidRPr="00466605">
        <w:t xml:space="preserve"> году – </w:t>
      </w:r>
      <w:r w:rsidR="00282219">
        <w:t>27,3</w:t>
      </w:r>
      <w:r w:rsidRPr="00466605">
        <w:t>%</w:t>
      </w:r>
      <w:r>
        <w:t xml:space="preserve"> (</w:t>
      </w:r>
      <w:r w:rsidR="00282219">
        <w:t>314</w:t>
      </w:r>
      <w:r>
        <w:t xml:space="preserve"> тыс. руб.)</w:t>
      </w:r>
      <w:r w:rsidR="00282219">
        <w:t>.</w:t>
      </w: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w:t>
      </w:r>
      <w:r w:rsidR="001A0856" w:rsidRPr="00DB6FC2">
        <w:rPr>
          <w:b/>
          <w:i/>
          <w:u w:val="single"/>
        </w:rPr>
        <w:t>налоговые доходы</w:t>
      </w:r>
      <w:r w:rsidR="001A0856">
        <w:t xml:space="preserve">, удельный вес которых составляет </w:t>
      </w:r>
      <w:r w:rsidR="00735DFC">
        <w:t>98,9</w:t>
      </w:r>
      <w:r w:rsidR="001A0856" w:rsidRPr="007E6D2A">
        <w:t>%</w:t>
      </w:r>
      <w:r w:rsidR="00F7314A">
        <w:t xml:space="preserve"> (2021г.), </w:t>
      </w:r>
      <w:r w:rsidR="00735DFC">
        <w:t>98,9</w:t>
      </w:r>
      <w:r w:rsidR="00F7314A">
        <w:t xml:space="preserve">% (2022г.), </w:t>
      </w:r>
      <w:r w:rsidR="00735DFC">
        <w:t>99</w:t>
      </w:r>
      <w:r w:rsidR="00F7314A">
        <w:t>% (2023г.)</w:t>
      </w:r>
      <w:r w:rsidR="001A0856">
        <w:t xml:space="preserve"> от общего объема доходов без учета безвозмездных поступлений.</w:t>
      </w:r>
    </w:p>
    <w:p w:rsidR="00D45CBA" w:rsidRDefault="003260BE" w:rsidP="00463B01">
      <w:pPr>
        <w:widowControl w:val="0"/>
        <w:numPr>
          <w:ilvl w:val="12"/>
          <w:numId w:val="0"/>
        </w:numPr>
        <w:ind w:firstLine="567"/>
        <w:jc w:val="both"/>
      </w:pPr>
      <w:r w:rsidRPr="00D45CBA">
        <w:rPr>
          <w:b/>
        </w:rPr>
        <w:t>Налог на доходы физических лиц</w:t>
      </w:r>
      <w:r w:rsidR="00D45CBA" w:rsidRPr="00D45CBA">
        <w:rPr>
          <w:b/>
        </w:rPr>
        <w:t>.</w:t>
      </w:r>
      <w:r w:rsidRPr="009B1744">
        <w:t xml:space="preserve"> </w:t>
      </w:r>
      <w:r w:rsidR="00D45CBA">
        <w:t>Поступления налога на доходы физических лиц на 202</w:t>
      </w:r>
      <w:r w:rsidR="00AA5219">
        <w:t>1</w:t>
      </w:r>
      <w:r w:rsidR="00D45CBA">
        <w:t xml:space="preserve"> год и на плановый период 202</w:t>
      </w:r>
      <w:r w:rsidR="00AA5219">
        <w:t>2</w:t>
      </w:r>
      <w:r w:rsidR="00D45CBA">
        <w:t>-202</w:t>
      </w:r>
      <w:r w:rsidR="00AA5219">
        <w:t>3</w:t>
      </w:r>
      <w:r w:rsidR="00D45CBA">
        <w:t xml:space="preserve"> годов запланированы на основе прогнозируемого темпа роста в 2020-2022 годах источника основной части налога – фонда </w:t>
      </w:r>
      <w:r w:rsidR="00FF166A">
        <w:t>оплаты труда</w:t>
      </w:r>
      <w:r w:rsidR="00D45CBA">
        <w:t>.</w:t>
      </w:r>
    </w:p>
    <w:p w:rsidR="00D45CBA" w:rsidRDefault="00D45CBA" w:rsidP="00463B01">
      <w:pPr>
        <w:widowControl w:val="0"/>
        <w:numPr>
          <w:ilvl w:val="12"/>
          <w:numId w:val="0"/>
        </w:numPr>
        <w:ind w:firstLine="567"/>
        <w:jc w:val="both"/>
      </w:pPr>
      <w:r>
        <w:t xml:space="preserve">Прогноз поступлений налога </w:t>
      </w:r>
      <w:r w:rsidR="00AA5219">
        <w:t xml:space="preserve">на доходы физических лиц </w:t>
      </w:r>
      <w:r>
        <w:t>в местный бюджет в 202</w:t>
      </w:r>
      <w:r w:rsidR="00AA5219">
        <w:t>1</w:t>
      </w:r>
      <w:r>
        <w:t xml:space="preserve"> году составляет </w:t>
      </w:r>
      <w:r w:rsidR="00FF166A">
        <w:t>315</w:t>
      </w:r>
      <w:r>
        <w:t xml:space="preserve"> тыс. рублей (+</w:t>
      </w:r>
      <w:r w:rsidR="00FF166A">
        <w:t>5</w:t>
      </w:r>
      <w:r>
        <w:t>% к ожидаемым поступлениям 20</w:t>
      </w:r>
      <w:r w:rsidR="00AA5219">
        <w:t>20</w:t>
      </w:r>
      <w:r>
        <w:t xml:space="preserve"> года), в 202</w:t>
      </w:r>
      <w:r w:rsidR="00AA5219">
        <w:t>2</w:t>
      </w:r>
      <w:r>
        <w:t xml:space="preserve"> году – </w:t>
      </w:r>
      <w:r w:rsidR="00FF166A">
        <w:t>324</w:t>
      </w:r>
      <w:r>
        <w:t xml:space="preserve"> тыс. рублей (+</w:t>
      </w:r>
      <w:r w:rsidR="00FF166A">
        <w:t>2,9</w:t>
      </w:r>
      <w:r>
        <w:t>% к прогнозируемым поступлениям 202</w:t>
      </w:r>
      <w:r w:rsidR="00AA5219">
        <w:t>1</w:t>
      </w:r>
      <w:r>
        <w:t xml:space="preserve"> года), в 202</w:t>
      </w:r>
      <w:r w:rsidR="00AA5219">
        <w:t>3</w:t>
      </w:r>
      <w:r>
        <w:t xml:space="preserve"> году – </w:t>
      </w:r>
      <w:r w:rsidR="00FF166A">
        <w:t>330</w:t>
      </w:r>
      <w:r>
        <w:t xml:space="preserve"> тыс. рублей (+</w:t>
      </w:r>
      <w:r w:rsidR="00FF166A">
        <w:t>1,9</w:t>
      </w:r>
      <w:r>
        <w:t>% к прогнозируемым поступлениям 202</w:t>
      </w:r>
      <w:r w:rsidR="00AA5219">
        <w:t>2</w:t>
      </w:r>
      <w:r>
        <w:t xml:space="preserve"> года).</w:t>
      </w:r>
    </w:p>
    <w:p w:rsidR="00D05A69" w:rsidRPr="009B1744" w:rsidRDefault="00D05A69" w:rsidP="00D05A69">
      <w:pPr>
        <w:widowControl w:val="0"/>
        <w:numPr>
          <w:ilvl w:val="12"/>
          <w:numId w:val="0"/>
        </w:numPr>
        <w:ind w:firstLine="720"/>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на основании уточненной оценки поступлений доходов от уплаты акцизов на нефтепродукты на 20</w:t>
      </w:r>
      <w:r w:rsidR="00790567">
        <w:t>21</w:t>
      </w:r>
      <w:r w:rsidR="00430227">
        <w:t xml:space="preserve"> год 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В соответствии с пунктом 4 статьи 3 проекта Закона Иркутской области «Об областном бюджете на 20</w:t>
      </w:r>
      <w:r>
        <w:t>21</w:t>
      </w:r>
      <w:r w:rsidRPr="0053720D">
        <w:t xml:space="preserve"> год и на плановый период 202</w:t>
      </w:r>
      <w:r>
        <w:t>2</w:t>
      </w:r>
      <w:r w:rsidRPr="0053720D">
        <w:t xml:space="preserve"> и 202</w:t>
      </w:r>
      <w:r>
        <w:t>3</w:t>
      </w:r>
      <w:r w:rsidRPr="0053720D">
        <w:t xml:space="preserve">гг.» (приложение 2) дифференцированный нормативов отчислений в бюджет </w:t>
      </w:r>
      <w:r w:rsidR="009A5EB2">
        <w:t>Знаменского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EC77A8">
        <w:t>6</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85426E">
        <w:t>1</w:t>
      </w:r>
      <w:r w:rsidR="00106633" w:rsidRPr="009B1744">
        <w:t xml:space="preserve"> год в сумме </w:t>
      </w:r>
      <w:r w:rsidR="00EC77A8">
        <w:t>444,9</w:t>
      </w:r>
      <w:r w:rsidR="00106633" w:rsidRPr="009B1744">
        <w:t xml:space="preserve"> тыс.руб., </w:t>
      </w:r>
      <w:r w:rsidR="007E21DC">
        <w:t>с</w:t>
      </w:r>
      <w:r w:rsidR="0085426E">
        <w:t>о</w:t>
      </w:r>
      <w:r w:rsidR="00106633" w:rsidRPr="009B1744">
        <w:t xml:space="preserve"> </w:t>
      </w:r>
      <w:r w:rsidR="0085426E">
        <w:t>снижением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20</w:t>
      </w:r>
      <w:r w:rsidR="00106633" w:rsidRPr="009B1744">
        <w:t xml:space="preserve"> года на </w:t>
      </w:r>
      <w:r w:rsidR="00EC77A8">
        <w:t>4,3</w:t>
      </w:r>
      <w:r w:rsidR="003134B5">
        <w:t xml:space="preserve"> тыс.</w:t>
      </w:r>
      <w:r w:rsidR="00FD3805">
        <w:t xml:space="preserve"> </w:t>
      </w:r>
      <w:r w:rsidR="003134B5">
        <w:t>руб</w:t>
      </w:r>
      <w:r w:rsidR="003F736E">
        <w:t>лей</w:t>
      </w:r>
      <w:r w:rsidR="003134B5">
        <w:t xml:space="preserve"> (</w:t>
      </w:r>
      <w:r w:rsidR="00AE2462">
        <w:t xml:space="preserve">или </w:t>
      </w:r>
      <w:r w:rsidR="0085426E">
        <w:t>99</w:t>
      </w:r>
      <w:r w:rsidR="003134B5">
        <w:t>%)</w:t>
      </w:r>
      <w:r w:rsidR="0085426E">
        <w:t xml:space="preserve">, на 2022 год в сумме </w:t>
      </w:r>
      <w:r w:rsidR="00EC77A8">
        <w:t>463</w:t>
      </w:r>
      <w:r w:rsidR="0085426E">
        <w:t xml:space="preserve"> тыс. руб., с ростом к прогнозу 2021г. на </w:t>
      </w:r>
      <w:r w:rsidR="00EC77A8">
        <w:t>18,1</w:t>
      </w:r>
      <w:r w:rsidR="0085426E">
        <w:t xml:space="preserve"> тыс. руб. (+</w:t>
      </w:r>
      <w:r w:rsidR="00EC77A8">
        <w:t>4,1</w:t>
      </w:r>
      <w:r w:rsidR="0085426E">
        <w:t xml:space="preserve">%), на 2023г.  в сумме </w:t>
      </w:r>
      <w:r w:rsidR="00EC77A8">
        <w:t>492,8</w:t>
      </w:r>
      <w:r w:rsidR="0085426E">
        <w:t xml:space="preserve"> тыс. руб., с ростом </w:t>
      </w:r>
      <w:r w:rsidR="00E651BB">
        <w:t>к</w:t>
      </w:r>
      <w:r w:rsidR="0085426E">
        <w:t xml:space="preserve"> прогнозу 2022г. на </w:t>
      </w:r>
      <w:r w:rsidR="00EC77A8">
        <w:t>29,8</w:t>
      </w:r>
      <w:r w:rsidR="0085426E">
        <w:t xml:space="preserve"> тыс. руб. (+</w:t>
      </w:r>
      <w:r w:rsidR="00EC77A8">
        <w:t>6,4</w:t>
      </w:r>
      <w:r w:rsidR="0085426E">
        <w:t>%)</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F173CF">
        <w:t>1</w:t>
      </w:r>
      <w:r w:rsidRPr="00DB174C">
        <w:t xml:space="preserve"> год в сумме </w:t>
      </w:r>
      <w:r w:rsidR="00EC77A8">
        <w:t>304</w:t>
      </w:r>
      <w:r w:rsidRPr="00DB174C">
        <w:t xml:space="preserve"> тыс.руб</w:t>
      </w:r>
      <w:r w:rsidR="00FD3805">
        <w:t>лей</w:t>
      </w:r>
      <w:r w:rsidRPr="00DB174C">
        <w:t xml:space="preserve">, с </w:t>
      </w:r>
      <w:r w:rsidR="00EC77A8">
        <w:t>ростом</w:t>
      </w:r>
      <w:r w:rsidRPr="00DB174C">
        <w:t xml:space="preserve"> к </w:t>
      </w:r>
      <w:r w:rsidR="00FD3805">
        <w:t>ожидаемым поступлениям</w:t>
      </w:r>
      <w:r w:rsidRPr="00DB174C">
        <w:t xml:space="preserve"> 20</w:t>
      </w:r>
      <w:r w:rsidR="00F173CF">
        <w:t>20</w:t>
      </w:r>
      <w:r w:rsidRPr="00DB174C">
        <w:t xml:space="preserve"> года на </w:t>
      </w:r>
      <w:r w:rsidR="00EC77A8">
        <w:t>30</w:t>
      </w:r>
      <w:r w:rsidRPr="00DB174C">
        <w:t xml:space="preserve"> тыс.руб. </w:t>
      </w:r>
      <w:r w:rsidR="00EC77A8">
        <w:t>(+10,9</w:t>
      </w:r>
      <w:r w:rsidRPr="00DB174C">
        <w:t>%</w:t>
      </w:r>
      <w:r w:rsidR="00D3007E">
        <w:t>)</w:t>
      </w:r>
      <w:r w:rsidRPr="00DB174C">
        <w:t>,</w:t>
      </w:r>
      <w:r w:rsidR="00F173CF" w:rsidRPr="00F173CF">
        <w:t xml:space="preserve"> </w:t>
      </w:r>
      <w:r w:rsidR="00F173CF">
        <w:t>на 2022</w:t>
      </w:r>
      <w:r w:rsidR="00EC77A8">
        <w:t>-2023</w:t>
      </w:r>
      <w:r w:rsidR="00F173CF">
        <w:t xml:space="preserve"> год</w:t>
      </w:r>
      <w:r w:rsidR="00EC77A8">
        <w:t>ы</w:t>
      </w:r>
      <w:r w:rsidR="00F173CF">
        <w:t xml:space="preserve"> в сумме </w:t>
      </w:r>
      <w:r w:rsidR="00EC77A8">
        <w:t>314</w:t>
      </w:r>
      <w:r w:rsidR="00F173CF">
        <w:t xml:space="preserve"> тыс. руб., </w:t>
      </w:r>
      <w:r w:rsidR="00EC77A8">
        <w:t xml:space="preserve">ежегодно, </w:t>
      </w:r>
      <w:r w:rsidR="00F173CF">
        <w:t xml:space="preserve">с ростом к прогнозу 2021г. на </w:t>
      </w:r>
      <w:r w:rsidR="00EC77A8">
        <w:t>10</w:t>
      </w:r>
      <w:r w:rsidR="00F173CF">
        <w:t xml:space="preserve"> тыс. руб. (+</w:t>
      </w:r>
      <w:r w:rsidR="00EC77A8">
        <w:t>3,3</w:t>
      </w:r>
      <w:r w:rsidR="00F173CF">
        <w:t xml:space="preserve">%), </w:t>
      </w:r>
      <w:r w:rsidRPr="00DB174C">
        <w:t>представлены группой следующих налогов:</w:t>
      </w:r>
    </w:p>
    <w:p w:rsidR="00F26DB4" w:rsidRDefault="0070250C" w:rsidP="00F26DB4">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F26DB4">
        <w:t>1</w:t>
      </w:r>
      <w:r w:rsidR="00EC77A8">
        <w:t>-2023</w:t>
      </w:r>
      <w:r w:rsidRPr="00DB174C">
        <w:t xml:space="preserve"> год</w:t>
      </w:r>
      <w:r w:rsidR="00EC77A8">
        <w:t>ы</w:t>
      </w:r>
      <w:r w:rsidRPr="00DB174C">
        <w:t xml:space="preserve"> в сумме </w:t>
      </w:r>
      <w:r w:rsidR="00EC77A8">
        <w:t>15</w:t>
      </w:r>
      <w:r w:rsidR="00DB174C" w:rsidRPr="00DB174C">
        <w:t xml:space="preserve"> </w:t>
      </w:r>
      <w:r w:rsidRPr="00DB174C">
        <w:t>тыс.руб</w:t>
      </w:r>
      <w:r w:rsidR="00913187">
        <w:t>лей</w:t>
      </w:r>
      <w:r w:rsidR="00DB174C" w:rsidRPr="00DB174C">
        <w:t>,</w:t>
      </w:r>
      <w:r w:rsidRPr="00DB174C">
        <w:t xml:space="preserve"> </w:t>
      </w:r>
      <w:r w:rsidR="00EC77A8">
        <w:t>ежегодно, на уровне</w:t>
      </w:r>
      <w:r w:rsidR="00F26DB4">
        <w:t xml:space="preserve"> </w:t>
      </w:r>
      <w:r w:rsidR="00F26DB4" w:rsidRPr="009B1744">
        <w:t>ожидаем</w:t>
      </w:r>
      <w:r w:rsidR="00F26DB4">
        <w:t>ы</w:t>
      </w:r>
      <w:r w:rsidR="00EC77A8">
        <w:t>х</w:t>
      </w:r>
      <w:r w:rsidR="00F26DB4" w:rsidRPr="009B1744">
        <w:t xml:space="preserve"> </w:t>
      </w:r>
      <w:r w:rsidR="00F26DB4">
        <w:t>поступлени</w:t>
      </w:r>
      <w:r w:rsidR="00EC77A8">
        <w:t>й</w:t>
      </w:r>
      <w:r w:rsidR="00F26DB4" w:rsidRPr="009B1744">
        <w:t xml:space="preserve"> 20</w:t>
      </w:r>
      <w:r w:rsidR="00F26DB4">
        <w:t>20</w:t>
      </w:r>
      <w:r w:rsidR="00F26DB4" w:rsidRPr="009B1744">
        <w:t xml:space="preserve"> года</w:t>
      </w:r>
      <w:r w:rsidR="00F26DB4">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D661F4" w:rsidRDefault="00593D39" w:rsidP="00D661F4">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D661F4">
        <w:t>1</w:t>
      </w:r>
      <w:r w:rsidR="0070250C" w:rsidRPr="00593D39">
        <w:t xml:space="preserve"> год в сумме </w:t>
      </w:r>
      <w:r w:rsidR="00EC77A8">
        <w:t>223</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72404F">
        <w:t xml:space="preserve">с </w:t>
      </w:r>
      <w:r w:rsidR="00EC77A8">
        <w:t>ростом</w:t>
      </w:r>
      <w:r w:rsidR="0072404F">
        <w:t xml:space="preserve"> на </w:t>
      </w:r>
      <w:r w:rsidR="00EC77A8">
        <w:t>30 тыс. рублей (+15,5</w:t>
      </w:r>
      <w:r w:rsidR="0072404F">
        <w:t>%) к ожидаемым поступлениям</w:t>
      </w:r>
      <w:r w:rsidR="0072404F" w:rsidRPr="00593D39">
        <w:t xml:space="preserve"> 20</w:t>
      </w:r>
      <w:r w:rsidR="00D661F4">
        <w:t>20 года, на 2022</w:t>
      </w:r>
      <w:r w:rsidR="00EC77A8">
        <w:t>-2023</w:t>
      </w:r>
      <w:r w:rsidR="00D661F4">
        <w:t xml:space="preserve"> год</w:t>
      </w:r>
      <w:r w:rsidR="00EC77A8">
        <w:t>ы</w:t>
      </w:r>
      <w:r w:rsidR="00D661F4">
        <w:t xml:space="preserve"> в сумме </w:t>
      </w:r>
      <w:r w:rsidR="00EC77A8">
        <w:t>233</w:t>
      </w:r>
      <w:r w:rsidR="00D661F4">
        <w:t xml:space="preserve"> тыс. руб.,</w:t>
      </w:r>
      <w:r w:rsidR="00EC77A8">
        <w:t xml:space="preserve"> ежегодно,</w:t>
      </w:r>
      <w:r w:rsidR="00D661F4">
        <w:t xml:space="preserve"> с ростом к прогнозу 2021г. на </w:t>
      </w:r>
      <w:r w:rsidR="00EC77A8">
        <w:t>10</w:t>
      </w:r>
      <w:r w:rsidR="00D661F4">
        <w:t xml:space="preserve"> тыс. руб. (+</w:t>
      </w:r>
      <w:r w:rsidR="00EC77A8">
        <w:t>4,5%)</w:t>
      </w:r>
      <w:r w:rsidR="00D661F4">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8B7B8C">
        <w:t>1</w:t>
      </w:r>
      <w:r w:rsidR="002A05AB">
        <w:t>-2023</w:t>
      </w:r>
      <w:r w:rsidR="00593D39" w:rsidRPr="00593D39">
        <w:t xml:space="preserve"> год</w:t>
      </w:r>
      <w:r w:rsidR="002A05AB">
        <w:t>ы</w:t>
      </w:r>
      <w:r w:rsidR="00593D39" w:rsidRPr="00593D39">
        <w:t xml:space="preserve"> в сумме </w:t>
      </w:r>
      <w:r w:rsidR="002A05AB">
        <w:t>66</w:t>
      </w:r>
      <w:r w:rsidR="00593D39" w:rsidRPr="00593D39">
        <w:t xml:space="preserve"> тыс.</w:t>
      </w:r>
      <w:r w:rsidR="00D8389B">
        <w:t xml:space="preserve"> </w:t>
      </w:r>
      <w:r w:rsidR="00593D39" w:rsidRPr="00593D39">
        <w:t>руб</w:t>
      </w:r>
      <w:r w:rsidR="00D8389B">
        <w:t>лей</w:t>
      </w:r>
      <w:r w:rsidR="005115A6">
        <w:t>,</w:t>
      </w:r>
      <w:r w:rsidR="00593D39" w:rsidRPr="00593D39">
        <w:t xml:space="preserve"> </w:t>
      </w:r>
      <w:r w:rsidR="002A05AB">
        <w:t xml:space="preserve">ежегодно, на уровне </w:t>
      </w:r>
      <w:r w:rsidR="002A05AB" w:rsidRPr="009B1744">
        <w:t>ожидаем</w:t>
      </w:r>
      <w:r w:rsidR="002A05AB">
        <w:t>ых</w:t>
      </w:r>
      <w:r w:rsidR="002A05AB" w:rsidRPr="009B1744">
        <w:t xml:space="preserve"> </w:t>
      </w:r>
      <w:r w:rsidR="002A05AB">
        <w:t>поступлений</w:t>
      </w:r>
      <w:r w:rsidR="002A05AB" w:rsidRPr="009B1744">
        <w:t xml:space="preserve"> 20</w:t>
      </w:r>
      <w:r w:rsidR="002A05AB">
        <w:t>20</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E060D7" w:rsidRDefault="00E060D7" w:rsidP="00F7314A">
      <w:pPr>
        <w:widowControl w:val="0"/>
        <w:numPr>
          <w:ilvl w:val="12"/>
          <w:numId w:val="0"/>
        </w:numPr>
        <w:ind w:firstLine="567"/>
        <w:jc w:val="both"/>
      </w:pPr>
    </w:p>
    <w:p w:rsidR="003F7608" w:rsidRDefault="00F7314A" w:rsidP="00F7314A">
      <w:pPr>
        <w:widowControl w:val="0"/>
        <w:numPr>
          <w:ilvl w:val="12"/>
          <w:numId w:val="0"/>
        </w:numPr>
        <w:ind w:firstLine="567"/>
        <w:jc w:val="both"/>
      </w:pPr>
      <w:r>
        <w:t xml:space="preserve">Удельный вес </w:t>
      </w:r>
      <w:r w:rsidRPr="00DB6FC2">
        <w:rPr>
          <w:b/>
          <w:i/>
          <w:u w:val="single"/>
        </w:rPr>
        <w:t>неналоговых доходов</w:t>
      </w:r>
      <w:r>
        <w:t xml:space="preserve"> местного бюджета составляет </w:t>
      </w:r>
      <w:r w:rsidR="00E13272">
        <w:t>1,1</w:t>
      </w:r>
      <w:r w:rsidRPr="007E6D2A">
        <w:t>%</w:t>
      </w:r>
      <w:r>
        <w:t xml:space="preserve"> (2021г.), </w:t>
      </w:r>
      <w:r w:rsidR="00E13272">
        <w:t>1,1</w:t>
      </w:r>
      <w:r>
        <w:t xml:space="preserve">% (2022г.), </w:t>
      </w:r>
      <w:r w:rsidR="00E13272">
        <w:t>1</w:t>
      </w:r>
      <w:r>
        <w:t>% (2023г.) от общего объема доходов без учета безвозмездных поступлений:</w:t>
      </w:r>
    </w:p>
    <w:p w:rsidR="00F825F4" w:rsidRDefault="00CD2B1D" w:rsidP="00CD2B1D">
      <w:pPr>
        <w:ind w:firstLine="567"/>
        <w:jc w:val="both"/>
      </w:pPr>
      <w:r w:rsidRPr="00EA77D1">
        <w:rPr>
          <w:b/>
        </w:rPr>
        <w:t>Доходы от оказания платных услуг и компенсации затрат государства</w:t>
      </w:r>
      <w:r w:rsidRPr="007C17BF">
        <w:rPr>
          <w:u w:val="single"/>
        </w:rPr>
        <w:t xml:space="preserve"> </w:t>
      </w:r>
      <w:r w:rsidRPr="007C17BF">
        <w:t>представлены подгруппой доходов бюджетов</w:t>
      </w:r>
      <w:r w:rsidR="00295790">
        <w:t>:</w:t>
      </w:r>
    </w:p>
    <w:p w:rsidR="00F825F4" w:rsidRDefault="00F825F4" w:rsidP="00BB45FA">
      <w:pPr>
        <w:widowControl w:val="0"/>
        <w:numPr>
          <w:ilvl w:val="12"/>
          <w:numId w:val="0"/>
        </w:numPr>
        <w:ind w:firstLine="567"/>
        <w:jc w:val="both"/>
      </w:pPr>
      <w:r>
        <w:t>-</w:t>
      </w:r>
      <w:r w:rsidR="00CD2B1D" w:rsidRPr="007C17BF">
        <w:t xml:space="preserve"> </w:t>
      </w:r>
      <w:r w:rsidR="00CD2B1D">
        <w:t>«</w:t>
      </w:r>
      <w:r w:rsidR="00EA77D1" w:rsidRPr="00CF310D">
        <w:rPr>
          <w:i/>
        </w:rPr>
        <w:t>П</w:t>
      </w:r>
      <w:r w:rsidR="00CD2B1D" w:rsidRPr="00CF310D">
        <w:rPr>
          <w:i/>
          <w:u w:val="single"/>
        </w:rPr>
        <w:t>рочие</w:t>
      </w:r>
      <w:r w:rsidR="00CD2B1D" w:rsidRPr="007C17BF">
        <w:rPr>
          <w:i/>
          <w:u w:val="single"/>
        </w:rPr>
        <w:t xml:space="preserve"> доходы от оказания платных услуг (работ) получателями средств бюджетов сельских поселений</w:t>
      </w:r>
      <w:r w:rsidR="00CD2B1D">
        <w:rPr>
          <w:i/>
          <w:u w:val="single"/>
        </w:rPr>
        <w:t>»</w:t>
      </w:r>
      <w:r w:rsidR="00CD2B1D" w:rsidRPr="007C17BF">
        <w:t xml:space="preserve"> </w:t>
      </w:r>
      <w:r>
        <w:t>прогнозируются</w:t>
      </w:r>
      <w:r w:rsidR="00CD2B1D" w:rsidRPr="007C17BF">
        <w:t xml:space="preserve"> в проекте бюджета на 20</w:t>
      </w:r>
      <w:r w:rsidR="00EA54E3">
        <w:t>2</w:t>
      </w:r>
      <w:r w:rsidR="00BB45FA">
        <w:t>1</w:t>
      </w:r>
      <w:r w:rsidR="00295790">
        <w:t>-2023</w:t>
      </w:r>
      <w:r w:rsidR="00CD2B1D" w:rsidRPr="007C17BF">
        <w:t xml:space="preserve"> год</w:t>
      </w:r>
      <w:r w:rsidR="00295790">
        <w:t>ы</w:t>
      </w:r>
      <w:r w:rsidR="00CD2B1D" w:rsidRPr="007C17BF">
        <w:t xml:space="preserve"> в сумме </w:t>
      </w:r>
      <w:r w:rsidR="00295790">
        <w:t>12</w:t>
      </w:r>
      <w:r w:rsidR="00CD2B1D" w:rsidRPr="007C17BF">
        <w:t xml:space="preserve"> тыс.</w:t>
      </w:r>
      <w:r w:rsidR="00EA54E3">
        <w:t xml:space="preserve"> </w:t>
      </w:r>
      <w:r w:rsidR="00CD2B1D" w:rsidRPr="007C17BF">
        <w:t>руб</w:t>
      </w:r>
      <w:r w:rsidR="00EA54E3">
        <w:t>лей</w:t>
      </w:r>
      <w:r w:rsidR="00CD2B1D" w:rsidRPr="007C17BF">
        <w:t xml:space="preserve">, </w:t>
      </w:r>
      <w:r w:rsidR="00295790">
        <w:t>ежегодно</w:t>
      </w:r>
      <w:r w:rsidR="00BB45FA">
        <w:t xml:space="preserve">. </w:t>
      </w:r>
      <w:r w:rsidRPr="007C17BF">
        <w:t xml:space="preserve">Платные услуги предоставляются населению </w:t>
      </w:r>
      <w:r>
        <w:t>МКУ</w:t>
      </w:r>
      <w:r w:rsidRPr="007C17BF">
        <w:t xml:space="preserve"> </w:t>
      </w:r>
      <w:r w:rsidR="009A5EB2">
        <w:t>Знаменским</w:t>
      </w:r>
      <w:r w:rsidRPr="007C17BF">
        <w:t xml:space="preserve"> </w:t>
      </w:r>
      <w:r w:rsidRPr="00DC7CA4">
        <w:t>КИЦ «</w:t>
      </w:r>
      <w:r w:rsidR="00A740BF">
        <w:t>Юность</w:t>
      </w:r>
      <w:r w:rsidRPr="00DC7CA4">
        <w:t xml:space="preserve">», подведомственным администрации </w:t>
      </w:r>
      <w:r w:rsidR="009A5EB2">
        <w:t>Знаменского</w:t>
      </w:r>
      <w:r w:rsidRPr="00DC7CA4">
        <w:t xml:space="preserve"> сельского поселения</w:t>
      </w:r>
      <w:r w:rsidR="00BB45FA">
        <w:t>.</w:t>
      </w:r>
    </w:p>
    <w:p w:rsidR="0048792B" w:rsidRDefault="0048792B" w:rsidP="005314D2">
      <w:pPr>
        <w:widowControl w:val="0"/>
        <w:numPr>
          <w:ilvl w:val="12"/>
          <w:numId w:val="0"/>
        </w:numPr>
        <w:ind w:firstLine="720"/>
        <w:jc w:val="center"/>
        <w:rPr>
          <w:b/>
        </w:rPr>
      </w:pP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834B6D">
        <w:t>1</w:t>
      </w:r>
      <w:r w:rsidR="009E42BA">
        <w:t xml:space="preserve"> году составят </w:t>
      </w:r>
      <w:r>
        <w:t>8302,7</w:t>
      </w:r>
      <w:r w:rsidR="009E42BA">
        <w:t xml:space="preserve"> тыс. рублей, что на </w:t>
      </w:r>
      <w:r>
        <w:t>1469</w:t>
      </w:r>
      <w:r w:rsidR="009E42BA">
        <w:t xml:space="preserve"> тыс. рублей </w:t>
      </w:r>
      <w:r w:rsidR="00834B6D">
        <w:t>(-</w:t>
      </w:r>
      <w:r>
        <w:t>15</w:t>
      </w:r>
      <w:r w:rsidR="00834B6D">
        <w:t xml:space="preserve">%) </w:t>
      </w:r>
      <w:r w:rsidR="009E42BA">
        <w:t xml:space="preserve">меньше ожидаемого уровня </w:t>
      </w:r>
      <w:r w:rsidR="00834B6D">
        <w:t xml:space="preserve">исполнения </w:t>
      </w:r>
      <w:r w:rsidR="009E42BA">
        <w:t>в 20</w:t>
      </w:r>
      <w:r w:rsidR="00834B6D">
        <w:t>20</w:t>
      </w:r>
      <w:r w:rsidR="009E42BA">
        <w:t xml:space="preserve"> году, в 202</w:t>
      </w:r>
      <w:r w:rsidR="00834B6D">
        <w:t>2</w:t>
      </w:r>
      <w:r w:rsidR="009E42BA">
        <w:t>-202</w:t>
      </w:r>
      <w:r w:rsidR="00834B6D">
        <w:t>3</w:t>
      </w:r>
      <w:r w:rsidR="009E42BA">
        <w:t xml:space="preserve"> годах составят </w:t>
      </w:r>
      <w:r>
        <w:t>7905,3</w:t>
      </w:r>
      <w:r w:rsidR="009E42BA">
        <w:t xml:space="preserve"> тыс. рублей (-</w:t>
      </w:r>
      <w:r>
        <w:t>4,8</w:t>
      </w:r>
      <w:r w:rsidR="009E42BA">
        <w:t>% к уровню 202</w:t>
      </w:r>
      <w:r w:rsidR="00834B6D">
        <w:t>1</w:t>
      </w:r>
      <w:r w:rsidR="009E42BA">
        <w:t xml:space="preserve"> года) и </w:t>
      </w:r>
      <w:r>
        <w:t>7691,3</w:t>
      </w:r>
      <w:r w:rsidR="009E42BA">
        <w:t xml:space="preserve"> тыс. рублей (-</w:t>
      </w:r>
      <w:r>
        <w:t>2,7</w:t>
      </w:r>
      <w:r w:rsidR="009E42BA">
        <w:t>% к уровню 202</w:t>
      </w:r>
      <w:r w:rsidR="00834B6D">
        <w:t>2</w:t>
      </w:r>
      <w:r w:rsidR="009E42BA">
        <w:t xml:space="preserve"> года)</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w:t>
      </w:r>
      <w:r w:rsidR="00E90984">
        <w:t>1</w:t>
      </w:r>
      <w:r>
        <w:t>-202</w:t>
      </w:r>
      <w:r w:rsidR="00E90984">
        <w:t>3</w:t>
      </w:r>
      <w:r>
        <w:t xml:space="preserve"> годы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8A5493" w:rsidRDefault="0060686E" w:rsidP="00834B6D">
      <w:pPr>
        <w:ind w:firstLine="567"/>
        <w:jc w:val="both"/>
      </w:pPr>
      <w:r>
        <w:t>Объем дотаци</w:t>
      </w:r>
      <w:r w:rsidR="00111F72">
        <w:t>й</w:t>
      </w:r>
      <w:r>
        <w:t xml:space="preserve"> </w:t>
      </w:r>
      <w:r w:rsidR="007B7BB8">
        <w:t xml:space="preserve">на выравнивание бюджетной обеспеченности поселения </w:t>
      </w:r>
      <w:r>
        <w:t xml:space="preserve">из областного </w:t>
      </w:r>
      <w:r w:rsidR="00443B89">
        <w:t>(</w:t>
      </w:r>
      <w:r w:rsidR="00730FD0">
        <w:t>250,8</w:t>
      </w:r>
      <w:r w:rsidR="00443B89">
        <w:t xml:space="preserve"> тыс. руб.</w:t>
      </w:r>
      <w:r w:rsidR="00CF47C9">
        <w:t xml:space="preserve"> – п.2 ст.12</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443B89">
        <w:t xml:space="preserve">) </w:t>
      </w:r>
      <w:r>
        <w:t xml:space="preserve">и районного </w:t>
      </w:r>
      <w:r w:rsidR="00443B89">
        <w:t>(</w:t>
      </w:r>
      <w:r w:rsidR="00730FD0">
        <w:t>5573,9</w:t>
      </w:r>
      <w:r w:rsidR="00443B89">
        <w:t xml:space="preserve"> тыс. руб.) </w:t>
      </w:r>
      <w:r>
        <w:t>бюджетов на 20</w:t>
      </w:r>
      <w:r w:rsidR="00D85A72">
        <w:t>2</w:t>
      </w:r>
      <w:r w:rsidR="000871E3">
        <w:t>1</w:t>
      </w:r>
      <w:r>
        <w:t xml:space="preserve"> год </w:t>
      </w:r>
      <w:r w:rsidR="00443B89">
        <w:t xml:space="preserve">в общей сумме </w:t>
      </w:r>
      <w:r w:rsidR="00730FD0">
        <w:t>5824,7</w:t>
      </w:r>
      <w:r>
        <w:t xml:space="preserve"> тыс. рублей, по сравнению с оценкой 20</w:t>
      </w:r>
      <w:r w:rsidR="000871E3">
        <w:t>20</w:t>
      </w:r>
      <w:r>
        <w:t xml:space="preserve"> года, име</w:t>
      </w:r>
      <w:r w:rsidR="00111F72">
        <w:t>е</w:t>
      </w:r>
      <w:r>
        <w:t xml:space="preserve">т тенденцию к </w:t>
      </w:r>
      <w:r w:rsidR="000871E3">
        <w:t>снижению</w:t>
      </w:r>
      <w:r>
        <w:t xml:space="preserve"> на </w:t>
      </w:r>
      <w:r w:rsidR="00730FD0">
        <w:t>235,5</w:t>
      </w:r>
      <w:r w:rsidR="000871E3">
        <w:t xml:space="preserve"> тыс. рублей (-</w:t>
      </w:r>
      <w:r w:rsidR="00730FD0">
        <w:t>3,9</w:t>
      </w:r>
      <w:r>
        <w:t>%</w:t>
      </w:r>
      <w:r w:rsidR="000871E3">
        <w:t>)</w:t>
      </w:r>
      <w:r>
        <w:t>.</w:t>
      </w:r>
      <w:r w:rsidR="008A5493">
        <w:t xml:space="preserve"> В 202</w:t>
      </w:r>
      <w:r w:rsidR="000871E3">
        <w:t>2</w:t>
      </w:r>
      <w:r w:rsidR="008A5493">
        <w:t>-202</w:t>
      </w:r>
      <w:r w:rsidR="000871E3">
        <w:t>3</w:t>
      </w:r>
      <w:r w:rsidR="008A5493">
        <w:t xml:space="preserve"> годах объем дотаций составит </w:t>
      </w:r>
      <w:r w:rsidR="00730FD0">
        <w:t>5325,8</w:t>
      </w:r>
      <w:r w:rsidR="008A5493">
        <w:t xml:space="preserve"> тыс. рублей (</w:t>
      </w:r>
      <w:r w:rsidR="00730FD0">
        <w:t xml:space="preserve">156,8 тыс. руб. – областной бюджет, 5169 тыс. руб. - </w:t>
      </w:r>
      <w:r w:rsidR="000871E3">
        <w:t>районный</w:t>
      </w:r>
      <w:r w:rsidR="008A5493">
        <w:t xml:space="preserve"> бюджет) и </w:t>
      </w:r>
      <w:r w:rsidR="00730FD0">
        <w:t>5306,1</w:t>
      </w:r>
      <w:r w:rsidR="008A5493">
        <w:t xml:space="preserve"> тыс. рублей (</w:t>
      </w:r>
      <w:r w:rsidR="00730FD0">
        <w:t xml:space="preserve">211,3 тыс. руб. – областной бюджет, 5094,8 тыс. руб. - </w:t>
      </w:r>
      <w:r w:rsidR="000871E3">
        <w:t xml:space="preserve">районный </w:t>
      </w:r>
      <w:r w:rsidR="008A5493">
        <w:t>бюджет)</w:t>
      </w:r>
      <w:r w:rsidR="00BD141F">
        <w:t>,</w:t>
      </w:r>
      <w:r w:rsidR="008A5493">
        <w:t xml:space="preserve"> соответственно.</w:t>
      </w:r>
    </w:p>
    <w:p w:rsidR="004B4967" w:rsidRDefault="004B4967" w:rsidP="00463B01">
      <w:pPr>
        <w:pStyle w:val="a9"/>
        <w:spacing w:after="0"/>
        <w:ind w:left="0" w:firstLine="567"/>
        <w:jc w:val="both"/>
      </w:pPr>
      <w:r>
        <w:t>Объем субсиди</w:t>
      </w:r>
      <w:r w:rsidR="007B7BB8">
        <w:t>й</w:t>
      </w:r>
      <w:r>
        <w:t xml:space="preserve"> на реализацию мероприятий перечня проектов народных инициатив из областного бюджета на 202</w:t>
      </w:r>
      <w:r w:rsidR="007B7BB8">
        <w:t>1</w:t>
      </w:r>
      <w:r>
        <w:t>-202</w:t>
      </w:r>
      <w:r w:rsidR="007B7BB8">
        <w:t>3</w:t>
      </w:r>
      <w:r>
        <w:t xml:space="preserve"> годы запланирован в объеме </w:t>
      </w:r>
      <w:r w:rsidR="007B7BB8">
        <w:t>200</w:t>
      </w:r>
      <w:r>
        <w:t xml:space="preserve"> тыс. рублей ежегодно</w:t>
      </w:r>
      <w:r w:rsidR="00CF47C9">
        <w:t xml:space="preserve"> (п.2 ст.13</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CF47C9">
        <w:t>)</w:t>
      </w:r>
      <w:r>
        <w:t xml:space="preserve">, со снижением к уровню </w:t>
      </w:r>
      <w:r w:rsidR="007B7BB8">
        <w:t xml:space="preserve">исполнения </w:t>
      </w:r>
      <w:r>
        <w:t>20</w:t>
      </w:r>
      <w:r w:rsidR="007B7BB8">
        <w:t>20</w:t>
      </w:r>
      <w:r>
        <w:t xml:space="preserve"> года на </w:t>
      </w:r>
      <w:r w:rsidR="00730FD0">
        <w:t>237,4</w:t>
      </w:r>
      <w:r>
        <w:t xml:space="preserve"> тыс. рублей (-</w:t>
      </w:r>
      <w:r w:rsidR="00730FD0">
        <w:t>54,3</w:t>
      </w:r>
      <w:r>
        <w:t>%).</w:t>
      </w:r>
    </w:p>
    <w:p w:rsidR="0060686E" w:rsidRDefault="0060686E" w:rsidP="00463B01">
      <w:pPr>
        <w:pStyle w:val="a9"/>
        <w:spacing w:after="0"/>
        <w:ind w:left="0" w:firstLine="567"/>
        <w:jc w:val="both"/>
      </w:pPr>
      <w:r>
        <w:t xml:space="preserve">Объем субвенций из областного бюджета запланирован в объеме </w:t>
      </w:r>
      <w:r w:rsidR="00730FD0">
        <w:t>138</w:t>
      </w:r>
      <w:r w:rsidR="00220DD4">
        <w:t xml:space="preserve"> </w:t>
      </w:r>
      <w:r>
        <w:t>тыс. рублей</w:t>
      </w:r>
      <w:r w:rsidR="00220DD4">
        <w:t xml:space="preserve"> </w:t>
      </w:r>
      <w:r w:rsidR="002813E3">
        <w:t xml:space="preserve">(2021г.), 139,5 тыс. рублей (2022г.), 145,2 тыс. рублей (2023г.) </w:t>
      </w:r>
      <w:r w:rsidR="00220DD4">
        <w:t xml:space="preserve">(в т.ч. субвенции на осуществление </w:t>
      </w:r>
      <w:r w:rsidR="002813E3">
        <w:t xml:space="preserve">полномочий по </w:t>
      </w:r>
      <w:r w:rsidR="0010338F">
        <w:t>первично</w:t>
      </w:r>
      <w:r w:rsidR="002813E3">
        <w:t>му</w:t>
      </w:r>
      <w:r w:rsidR="0010338F">
        <w:t xml:space="preserve"> воинско</w:t>
      </w:r>
      <w:r w:rsidR="002813E3">
        <w:t>му</w:t>
      </w:r>
      <w:r w:rsidR="0010338F">
        <w:t xml:space="preserve"> учет</w:t>
      </w:r>
      <w:r w:rsidR="002813E3">
        <w:t>у</w:t>
      </w:r>
      <w:r w:rsidR="0010338F">
        <w:t xml:space="preserve"> на территориях, где отсутствуют военные комиссариаты</w:t>
      </w:r>
      <w:r w:rsidR="00220DD4">
        <w:t xml:space="preserve"> в сумме </w:t>
      </w:r>
      <w:r w:rsidR="002813E3">
        <w:t>137,3</w:t>
      </w:r>
      <w:r w:rsidR="00220DD4">
        <w:t xml:space="preserve"> тыс. рублей </w:t>
      </w:r>
      <w:r w:rsidR="002813E3">
        <w:t xml:space="preserve">(2021г.), 138,8 тыс. руб. (2022г.), 144,5 тыс. руб. (2023г.) </w:t>
      </w:r>
      <w:r w:rsidR="00220DD4">
        <w:t xml:space="preserve">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rsidR="00CF47C9">
        <w:t>,</w:t>
      </w:r>
      <w:r w:rsidR="002813E3">
        <w:t xml:space="preserve"> ежегодно</w:t>
      </w:r>
      <w:r w:rsidR="00730FD0">
        <w:t xml:space="preserve"> (2021-2023гг.)</w:t>
      </w:r>
      <w:r w:rsidR="006C3B52">
        <w:t>,</w:t>
      </w:r>
      <w:r w:rsidR="00CF47C9">
        <w:t xml:space="preserve"> </w:t>
      </w:r>
      <w:r w:rsidR="006C3B52">
        <w:t xml:space="preserve">на основании </w:t>
      </w:r>
      <w:r w:rsidR="00CF47C9">
        <w:t>п.1 ст.15</w:t>
      </w:r>
      <w:r w:rsidR="00CF47C9" w:rsidRPr="0053720D">
        <w:t xml:space="preserve"> проекта Закона Иркутской области «Об областном бюджете на 20</w:t>
      </w:r>
      <w:r w:rsidR="00CF47C9">
        <w:t>21</w:t>
      </w:r>
      <w:r w:rsidR="00CF47C9" w:rsidRPr="0053720D">
        <w:t xml:space="preserve"> год и на плановый период 202</w:t>
      </w:r>
      <w:r w:rsidR="00CF47C9">
        <w:t>2</w:t>
      </w:r>
      <w:r w:rsidR="00CF47C9" w:rsidRPr="0053720D">
        <w:t xml:space="preserve"> и 202</w:t>
      </w:r>
      <w:r w:rsidR="00CF47C9">
        <w:t>3</w:t>
      </w:r>
      <w:r w:rsidR="00CF47C9" w:rsidRPr="0053720D">
        <w:t>гг.»</w:t>
      </w:r>
      <w:r w:rsidR="00220DD4">
        <w:t>)</w:t>
      </w:r>
      <w:r>
        <w:t>.</w:t>
      </w:r>
    </w:p>
    <w:p w:rsidR="00730FD0" w:rsidRDefault="0010338F" w:rsidP="00730FD0">
      <w:pPr>
        <w:pStyle w:val="a9"/>
        <w:spacing w:after="0"/>
        <w:ind w:left="0" w:firstLine="567"/>
        <w:jc w:val="both"/>
      </w:pPr>
      <w:r>
        <w:t xml:space="preserve">Объем </w:t>
      </w:r>
      <w:r w:rsidR="00553F51">
        <w:t>иных</w:t>
      </w:r>
      <w:r>
        <w:t xml:space="preserve"> межбюджетных трансфертов</w:t>
      </w:r>
      <w:r w:rsidR="00553F51">
        <w:t xml:space="preserve"> бюджету поселения, входящего в состав Жигаловского района, на поддержку</w:t>
      </w:r>
      <w:r>
        <w:t xml:space="preserve"> </w:t>
      </w:r>
      <w:r w:rsidR="00553F51">
        <w:t xml:space="preserve">мер по </w:t>
      </w:r>
      <w:r w:rsidR="00BF30B7">
        <w:t>обеспечени</w:t>
      </w:r>
      <w:r w:rsidR="00553F51">
        <w:t>ю</w:t>
      </w:r>
      <w:r w:rsidR="00BF30B7">
        <w:t xml:space="preserve"> сбалансированности бюджета </w:t>
      </w:r>
      <w:r w:rsidR="009A5EB2">
        <w:t>Знаменского</w:t>
      </w:r>
      <w:r w:rsidR="00BF30B7">
        <w:t xml:space="preserve"> сельского поселения предусмотрен на 20</w:t>
      </w:r>
      <w:r w:rsidR="004E365A">
        <w:t>2</w:t>
      </w:r>
      <w:r w:rsidR="00553F51">
        <w:t>1</w:t>
      </w:r>
      <w:r w:rsidR="00BF30B7">
        <w:t xml:space="preserve"> год в сумме </w:t>
      </w:r>
      <w:r w:rsidR="00730FD0">
        <w:t>2140</w:t>
      </w:r>
      <w:r w:rsidR="00BF30B7">
        <w:t xml:space="preserve"> тыс. руб., с</w:t>
      </w:r>
      <w:r w:rsidR="00730FD0">
        <w:t>о</w:t>
      </w:r>
      <w:r w:rsidR="00BF30B7">
        <w:t xml:space="preserve"> </w:t>
      </w:r>
      <w:r w:rsidR="00730FD0">
        <w:t>снижением</w:t>
      </w:r>
      <w:r w:rsidR="00BF30B7">
        <w:t xml:space="preserve"> к уровню </w:t>
      </w:r>
      <w:r w:rsidR="00553F51">
        <w:t xml:space="preserve">оценки исполнения </w:t>
      </w:r>
      <w:r w:rsidR="00BF30B7">
        <w:t>20</w:t>
      </w:r>
      <w:r w:rsidR="00553F51">
        <w:t>20</w:t>
      </w:r>
      <w:r w:rsidR="00BF30B7">
        <w:t xml:space="preserve"> года на </w:t>
      </w:r>
      <w:r w:rsidR="00730FD0">
        <w:t>999,3 тыс. руб. (-31,8</w:t>
      </w:r>
      <w:r w:rsidR="00BF30B7">
        <w:t>%)</w:t>
      </w:r>
      <w:r w:rsidR="00553F51">
        <w:t>, на 202</w:t>
      </w:r>
      <w:r w:rsidR="00730FD0">
        <w:t>2</w:t>
      </w:r>
      <w:r w:rsidR="00553F51">
        <w:t xml:space="preserve"> год  - </w:t>
      </w:r>
      <w:r w:rsidR="00730FD0">
        <w:t>2240 тыс. рублей (+4,7</w:t>
      </w:r>
      <w:r w:rsidR="00553F51">
        <w:t>% к 202</w:t>
      </w:r>
      <w:r w:rsidR="00730FD0">
        <w:t>1</w:t>
      </w:r>
      <w:r w:rsidR="00553F51">
        <w:t>г.)</w:t>
      </w:r>
      <w:r w:rsidR="00730FD0">
        <w:t>, на 2023 год  - 2040 тыс. рублей (-8,9% к 2022г.).</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9A5EB2">
        <w:t>Знаменского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w:t>
      </w:r>
      <w:r w:rsidR="00553F51">
        <w:t>1</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D119BE">
        <w:t>70,2</w:t>
      </w:r>
      <w:r w:rsidR="00657F6C" w:rsidRPr="00715968">
        <w:t>%,</w:t>
      </w:r>
      <w:r w:rsidR="00386290" w:rsidRPr="00386290">
        <w:t xml:space="preserve"> </w:t>
      </w:r>
      <w:r w:rsidR="00292AAA">
        <w:t xml:space="preserve">прочие МБТ – </w:t>
      </w:r>
      <w:r w:rsidR="00D119BE">
        <w:t>25,8</w:t>
      </w:r>
      <w:r w:rsidR="00292AAA">
        <w:t xml:space="preserve">%, </w:t>
      </w:r>
      <w:r w:rsidR="00CE211B">
        <w:t>субсидии – 2,</w:t>
      </w:r>
      <w:r w:rsidR="00553F51">
        <w:t>4</w:t>
      </w:r>
      <w:r w:rsidR="00CE211B">
        <w:t xml:space="preserve">%, </w:t>
      </w:r>
      <w:r w:rsidR="00386290" w:rsidRPr="00715968">
        <w:t>субвенции</w:t>
      </w:r>
      <w:r w:rsidR="00386290">
        <w:t xml:space="preserve"> – </w:t>
      </w:r>
      <w:r w:rsidR="00553F51">
        <w:t>1,6</w:t>
      </w:r>
      <w:r w:rsidR="00386290">
        <w:t>%.</w:t>
      </w:r>
      <w:r w:rsidR="00657F6C" w:rsidRPr="00715968">
        <w:t xml:space="preserve"> </w:t>
      </w:r>
    </w:p>
    <w:p w:rsidR="00220DD4" w:rsidRDefault="00220DD4" w:rsidP="007342C5">
      <w:pPr>
        <w:pStyle w:val="a9"/>
        <w:spacing w:after="0"/>
        <w:ind w:left="0" w:firstLine="600"/>
        <w:jc w:val="center"/>
        <w:rPr>
          <w:b/>
        </w:rPr>
      </w:pPr>
    </w:p>
    <w:p w:rsidR="00740B4D" w:rsidRDefault="00BD141F" w:rsidP="00624ADA">
      <w:pPr>
        <w:widowControl w:val="0"/>
        <w:numPr>
          <w:ilvl w:val="12"/>
          <w:numId w:val="0"/>
        </w:numPr>
        <w:ind w:firstLine="720"/>
        <w:jc w:val="center"/>
      </w:pPr>
      <w:r w:rsidRPr="00624ADA">
        <w:t>Анализ р</w:t>
      </w:r>
      <w:r w:rsidR="00C91429" w:rsidRPr="00624ADA">
        <w:t>асход</w:t>
      </w:r>
      <w:r w:rsidRPr="00624ADA">
        <w:t xml:space="preserve">ов </w:t>
      </w:r>
      <w:r w:rsidR="00C91429" w:rsidRPr="00624ADA">
        <w:t xml:space="preserve">бюджета </w:t>
      </w:r>
      <w:r w:rsidR="009A5EB2">
        <w:t>Знаменского</w:t>
      </w:r>
      <w:r w:rsidR="00624ADA" w:rsidRPr="00AA5219">
        <w:t xml:space="preserve"> муниципального образования </w:t>
      </w:r>
    </w:p>
    <w:p w:rsidR="00624ADA" w:rsidRPr="00AA5219" w:rsidRDefault="00624ADA" w:rsidP="00624ADA">
      <w:pPr>
        <w:widowControl w:val="0"/>
        <w:numPr>
          <w:ilvl w:val="12"/>
          <w:numId w:val="0"/>
        </w:numPr>
        <w:ind w:firstLine="720"/>
        <w:jc w:val="center"/>
      </w:pPr>
      <w:r w:rsidRPr="00AA5219">
        <w:t>на 2021 год и плановый период 2022 и 2023 годов</w:t>
      </w:r>
    </w:p>
    <w:p w:rsidR="00C91429" w:rsidRPr="00283264" w:rsidRDefault="00C91429" w:rsidP="00BD141F">
      <w:pPr>
        <w:pStyle w:val="a9"/>
        <w:spacing w:after="0"/>
        <w:ind w:left="0" w:firstLine="600"/>
        <w:jc w:val="center"/>
        <w:rPr>
          <w:b/>
        </w:rPr>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9A5EB2">
        <w:t>Знаменского</w:t>
      </w:r>
      <w:r w:rsidR="0000549E">
        <w:t xml:space="preserve"> </w:t>
      </w:r>
      <w:r w:rsidR="0031390C">
        <w:t>муниципального образования</w:t>
      </w:r>
      <w:r w:rsidR="00586E4E" w:rsidRPr="00315E8A">
        <w:t xml:space="preserve"> </w:t>
      </w:r>
      <w:r w:rsidRPr="00315E8A">
        <w:t xml:space="preserve">в соответствии с проектом Закона Иркутской области «Об областном бюджете на </w:t>
      </w:r>
      <w:r w:rsidR="006C047A">
        <w:t>202</w:t>
      </w:r>
      <w:r w:rsidR="0031390C">
        <w:t>1</w:t>
      </w:r>
      <w:r w:rsidR="006C047A">
        <w:t xml:space="preserve"> год и на плановый период 2022 и 2023 годов</w:t>
      </w:r>
      <w:r w:rsidRPr="00315E8A">
        <w:t>»</w:t>
      </w:r>
      <w:r w:rsidR="002174D6">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w:t>
      </w:r>
      <w:r w:rsidR="007965C5">
        <w:t>2021 год и плановый период 2022 и 2023 годов</w:t>
      </w:r>
      <w:r w:rsidR="002174D6">
        <w:t>»</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w:t>
      </w:r>
      <w:r w:rsidR="00740B4D">
        <w:t>приоритетные направления</w:t>
      </w:r>
      <w:r>
        <w:t xml:space="preserve">: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740B4D">
        <w:t>;</w:t>
      </w:r>
    </w:p>
    <w:p w:rsidR="00740B4D" w:rsidRDefault="00740B4D" w:rsidP="00463B01">
      <w:pPr>
        <w:tabs>
          <w:tab w:val="left" w:pos="1134"/>
        </w:tabs>
        <w:autoSpaceDE w:val="0"/>
        <w:autoSpaceDN w:val="0"/>
        <w:adjustRightInd w:val="0"/>
        <w:ind w:firstLine="567"/>
        <w:jc w:val="both"/>
      </w:pPr>
      <w:r>
        <w:t>5) расходы на реализацию мероприятий муниципальной программы.</w:t>
      </w:r>
    </w:p>
    <w:p w:rsidR="000909E5" w:rsidRPr="00F2337E" w:rsidRDefault="000909E5" w:rsidP="000909E5">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202</w:t>
      </w:r>
      <w:r w:rsidR="00C66D11">
        <w:rPr>
          <w:b w:val="0"/>
          <w:bCs w:val="0"/>
          <w:i w:val="0"/>
          <w:color w:val="000000"/>
          <w:spacing w:val="3"/>
          <w:sz w:val="24"/>
        </w:rPr>
        <w:t>1</w:t>
      </w:r>
      <w:r>
        <w:rPr>
          <w:b w:val="0"/>
          <w:bCs w:val="0"/>
          <w:i w:val="0"/>
          <w:color w:val="000000"/>
          <w:spacing w:val="3"/>
          <w:sz w:val="24"/>
        </w:rPr>
        <w:t xml:space="preserve"> год предлагается утвердить</w:t>
      </w:r>
      <w:r w:rsidRPr="00210876">
        <w:rPr>
          <w:b w:val="0"/>
          <w:bCs w:val="0"/>
          <w:i w:val="0"/>
          <w:color w:val="000000"/>
          <w:spacing w:val="3"/>
          <w:sz w:val="24"/>
        </w:rPr>
        <w:t xml:space="preserve"> в  сумме </w:t>
      </w:r>
      <w:r w:rsidR="009B40D6">
        <w:rPr>
          <w:b w:val="0"/>
          <w:bCs w:val="0"/>
          <w:i w:val="0"/>
          <w:color w:val="000000"/>
          <w:spacing w:val="3"/>
          <w:sz w:val="24"/>
        </w:rPr>
        <w:t>9418,9</w:t>
      </w:r>
      <w:r>
        <w:rPr>
          <w:b w:val="0"/>
          <w:bCs w:val="0"/>
          <w:i w:val="0"/>
          <w:color w:val="000000"/>
          <w:spacing w:val="3"/>
          <w:sz w:val="24"/>
        </w:rPr>
        <w:t xml:space="preserve"> тыс. руб., что ниже уровня 20</w:t>
      </w:r>
      <w:r w:rsidR="00C66D11">
        <w:rPr>
          <w:b w:val="0"/>
          <w:bCs w:val="0"/>
          <w:i w:val="0"/>
          <w:color w:val="000000"/>
          <w:spacing w:val="3"/>
          <w:sz w:val="24"/>
        </w:rPr>
        <w:t>20</w:t>
      </w:r>
      <w:r>
        <w:rPr>
          <w:b w:val="0"/>
          <w:bCs w:val="0"/>
          <w:i w:val="0"/>
          <w:color w:val="000000"/>
          <w:spacing w:val="3"/>
          <w:sz w:val="24"/>
        </w:rPr>
        <w:t xml:space="preserve"> года (оценка исполнения </w:t>
      </w:r>
      <w:r w:rsidR="009B40D6">
        <w:rPr>
          <w:b w:val="0"/>
          <w:bCs w:val="0"/>
          <w:i w:val="0"/>
          <w:color w:val="000000"/>
          <w:spacing w:val="3"/>
          <w:sz w:val="24"/>
        </w:rPr>
        <w:t>13278,9</w:t>
      </w:r>
      <w:r>
        <w:rPr>
          <w:b w:val="0"/>
          <w:bCs w:val="0"/>
          <w:i w:val="0"/>
          <w:color w:val="000000"/>
          <w:spacing w:val="3"/>
          <w:sz w:val="24"/>
        </w:rPr>
        <w:t xml:space="preserve"> тыс.руб.) на сумму </w:t>
      </w:r>
      <w:r w:rsidR="009B40D6">
        <w:rPr>
          <w:b w:val="0"/>
          <w:bCs w:val="0"/>
          <w:i w:val="0"/>
          <w:color w:val="000000"/>
          <w:spacing w:val="3"/>
          <w:sz w:val="24"/>
        </w:rPr>
        <w:t>3860</w:t>
      </w:r>
      <w:r>
        <w:rPr>
          <w:b w:val="0"/>
          <w:bCs w:val="0"/>
          <w:i w:val="0"/>
          <w:color w:val="000000"/>
          <w:spacing w:val="3"/>
          <w:sz w:val="24"/>
        </w:rPr>
        <w:t xml:space="preserve"> тыс. руб. (-</w:t>
      </w:r>
      <w:r w:rsidR="009B40D6">
        <w:rPr>
          <w:b w:val="0"/>
          <w:bCs w:val="0"/>
          <w:i w:val="0"/>
          <w:color w:val="000000"/>
          <w:spacing w:val="3"/>
          <w:sz w:val="24"/>
        </w:rPr>
        <w:t>29,1</w:t>
      </w:r>
      <w:r>
        <w:rPr>
          <w:b w:val="0"/>
          <w:bCs w:val="0"/>
          <w:i w:val="0"/>
          <w:color w:val="000000"/>
          <w:spacing w:val="3"/>
          <w:sz w:val="24"/>
        </w:rPr>
        <w:t>%); на 202</w:t>
      </w:r>
      <w:r w:rsidR="00C66D11">
        <w:rPr>
          <w:b w:val="0"/>
          <w:bCs w:val="0"/>
          <w:i w:val="0"/>
          <w:color w:val="000000"/>
          <w:spacing w:val="3"/>
          <w:sz w:val="24"/>
        </w:rPr>
        <w:t>2</w:t>
      </w:r>
      <w:r>
        <w:rPr>
          <w:b w:val="0"/>
          <w:bCs w:val="0"/>
          <w:i w:val="0"/>
          <w:color w:val="000000"/>
          <w:spacing w:val="3"/>
          <w:sz w:val="24"/>
        </w:rPr>
        <w:t xml:space="preserve"> год в сумме </w:t>
      </w:r>
      <w:r w:rsidR="009B40D6">
        <w:rPr>
          <w:b w:val="0"/>
          <w:bCs w:val="0"/>
          <w:i w:val="0"/>
          <w:color w:val="000000"/>
          <w:spacing w:val="3"/>
          <w:sz w:val="24"/>
        </w:rPr>
        <w:t>9060</w:t>
      </w:r>
      <w:r>
        <w:rPr>
          <w:b w:val="0"/>
          <w:bCs w:val="0"/>
          <w:i w:val="0"/>
          <w:color w:val="000000"/>
          <w:spacing w:val="3"/>
          <w:sz w:val="24"/>
        </w:rPr>
        <w:t xml:space="preserve"> тыс. руб.</w:t>
      </w:r>
      <w:r w:rsidR="00C66D11">
        <w:rPr>
          <w:b w:val="0"/>
          <w:bCs w:val="0"/>
          <w:i w:val="0"/>
          <w:color w:val="000000"/>
          <w:spacing w:val="3"/>
          <w:sz w:val="24"/>
        </w:rPr>
        <w:t xml:space="preserve"> </w:t>
      </w:r>
      <w:r w:rsidR="00C66D11" w:rsidRPr="00C66D11">
        <w:rPr>
          <w:b w:val="0"/>
          <w:bCs w:val="0"/>
          <w:i w:val="0"/>
          <w:color w:val="000000"/>
          <w:spacing w:val="3"/>
          <w:sz w:val="24"/>
        </w:rPr>
        <w:t>(</w:t>
      </w:r>
      <w:r w:rsidR="00C66D11" w:rsidRPr="00F2337E">
        <w:rPr>
          <w:b w:val="0"/>
          <w:i w:val="0"/>
          <w:sz w:val="24"/>
        </w:rPr>
        <w:t xml:space="preserve">в том числе условно утвержденные расходы в сумме </w:t>
      </w:r>
      <w:r w:rsidR="009B40D6">
        <w:rPr>
          <w:b w:val="0"/>
          <w:i w:val="0"/>
          <w:sz w:val="24"/>
        </w:rPr>
        <w:t>218</w:t>
      </w:r>
      <w:r w:rsidR="00C66D11" w:rsidRPr="00F2337E">
        <w:rPr>
          <w:b w:val="0"/>
          <w:i w:val="0"/>
          <w:sz w:val="24"/>
        </w:rPr>
        <w:t xml:space="preserve"> тыс. руб.)</w:t>
      </w:r>
      <w:r w:rsidRPr="00F2337E">
        <w:rPr>
          <w:b w:val="0"/>
          <w:bCs w:val="0"/>
          <w:i w:val="0"/>
          <w:color w:val="000000"/>
          <w:spacing w:val="3"/>
          <w:sz w:val="24"/>
        </w:rPr>
        <w:t>, со снижением к 202</w:t>
      </w:r>
      <w:r w:rsidR="00C66D11" w:rsidRPr="00F2337E">
        <w:rPr>
          <w:b w:val="0"/>
          <w:bCs w:val="0"/>
          <w:i w:val="0"/>
          <w:color w:val="000000"/>
          <w:spacing w:val="3"/>
          <w:sz w:val="24"/>
        </w:rPr>
        <w:t>1</w:t>
      </w:r>
      <w:r w:rsidRPr="00F2337E">
        <w:rPr>
          <w:b w:val="0"/>
          <w:bCs w:val="0"/>
          <w:i w:val="0"/>
          <w:color w:val="000000"/>
          <w:spacing w:val="3"/>
          <w:sz w:val="24"/>
        </w:rPr>
        <w:t xml:space="preserve"> году на </w:t>
      </w:r>
      <w:r w:rsidR="00990E1E">
        <w:rPr>
          <w:b w:val="0"/>
          <w:bCs w:val="0"/>
          <w:i w:val="0"/>
          <w:color w:val="000000"/>
          <w:spacing w:val="3"/>
          <w:sz w:val="24"/>
        </w:rPr>
        <w:t>358,9</w:t>
      </w:r>
      <w:r w:rsidRPr="00F2337E">
        <w:rPr>
          <w:b w:val="0"/>
          <w:bCs w:val="0"/>
          <w:i w:val="0"/>
          <w:color w:val="000000"/>
          <w:spacing w:val="3"/>
          <w:sz w:val="24"/>
        </w:rPr>
        <w:t xml:space="preserve"> тыс. руб. (-</w:t>
      </w:r>
      <w:r w:rsidR="00990E1E">
        <w:rPr>
          <w:b w:val="0"/>
          <w:bCs w:val="0"/>
          <w:i w:val="0"/>
          <w:color w:val="000000"/>
          <w:spacing w:val="3"/>
          <w:sz w:val="24"/>
        </w:rPr>
        <w:t>3,8</w:t>
      </w:r>
      <w:r w:rsidRPr="00F2337E">
        <w:rPr>
          <w:b w:val="0"/>
          <w:bCs w:val="0"/>
          <w:i w:val="0"/>
          <w:color w:val="000000"/>
          <w:spacing w:val="3"/>
          <w:sz w:val="24"/>
        </w:rPr>
        <w:t>%), на 202</w:t>
      </w:r>
      <w:r w:rsidR="00C66D11" w:rsidRPr="00F2337E">
        <w:rPr>
          <w:b w:val="0"/>
          <w:bCs w:val="0"/>
          <w:i w:val="0"/>
          <w:color w:val="000000"/>
          <w:spacing w:val="3"/>
          <w:sz w:val="24"/>
        </w:rPr>
        <w:t>3</w:t>
      </w:r>
      <w:r w:rsidRPr="00F2337E">
        <w:rPr>
          <w:b w:val="0"/>
          <w:bCs w:val="0"/>
          <w:i w:val="0"/>
          <w:color w:val="000000"/>
          <w:spacing w:val="3"/>
          <w:sz w:val="24"/>
        </w:rPr>
        <w:t xml:space="preserve"> год – </w:t>
      </w:r>
      <w:r w:rsidR="00990E1E">
        <w:rPr>
          <w:b w:val="0"/>
          <w:bCs w:val="0"/>
          <w:i w:val="0"/>
          <w:color w:val="000000"/>
          <w:spacing w:val="3"/>
          <w:sz w:val="24"/>
        </w:rPr>
        <w:t>8883,1</w:t>
      </w:r>
      <w:r w:rsidRPr="00F2337E">
        <w:rPr>
          <w:b w:val="0"/>
          <w:bCs w:val="0"/>
          <w:i w:val="0"/>
          <w:color w:val="000000"/>
          <w:spacing w:val="3"/>
          <w:sz w:val="24"/>
        </w:rPr>
        <w:t xml:space="preserve"> тыс. руб.</w:t>
      </w:r>
      <w:r w:rsidR="00C66D11" w:rsidRPr="00F2337E">
        <w:rPr>
          <w:b w:val="0"/>
          <w:bCs w:val="0"/>
          <w:i w:val="0"/>
          <w:color w:val="000000"/>
          <w:spacing w:val="3"/>
          <w:sz w:val="24"/>
        </w:rPr>
        <w:t xml:space="preserve"> (</w:t>
      </w:r>
      <w:r w:rsidR="00C66D11" w:rsidRPr="00F2337E">
        <w:rPr>
          <w:b w:val="0"/>
          <w:i w:val="0"/>
          <w:sz w:val="24"/>
        </w:rPr>
        <w:t xml:space="preserve">в том числе условно утвержденные расходы в сумме </w:t>
      </w:r>
      <w:r w:rsidR="00990E1E">
        <w:rPr>
          <w:b w:val="0"/>
          <w:i w:val="0"/>
          <w:sz w:val="24"/>
        </w:rPr>
        <w:t>426,8</w:t>
      </w:r>
      <w:r w:rsidR="00C66D11" w:rsidRPr="00F2337E">
        <w:rPr>
          <w:b w:val="0"/>
          <w:i w:val="0"/>
          <w:sz w:val="24"/>
        </w:rPr>
        <w:t xml:space="preserve"> тыс. рублей),</w:t>
      </w:r>
      <w:r w:rsidR="00C66D11" w:rsidRPr="00F2337E">
        <w:rPr>
          <w:b w:val="0"/>
          <w:bCs w:val="0"/>
          <w:i w:val="0"/>
          <w:color w:val="000000"/>
          <w:spacing w:val="3"/>
          <w:sz w:val="24"/>
        </w:rPr>
        <w:t xml:space="preserve"> </w:t>
      </w:r>
      <w:r w:rsidRPr="00F2337E">
        <w:rPr>
          <w:b w:val="0"/>
          <w:bCs w:val="0"/>
          <w:i w:val="0"/>
          <w:color w:val="000000"/>
          <w:spacing w:val="3"/>
          <w:sz w:val="24"/>
        </w:rPr>
        <w:t>со снижением к 202</w:t>
      </w:r>
      <w:r w:rsidR="00C66D11" w:rsidRPr="00F2337E">
        <w:rPr>
          <w:b w:val="0"/>
          <w:bCs w:val="0"/>
          <w:i w:val="0"/>
          <w:color w:val="000000"/>
          <w:spacing w:val="3"/>
          <w:sz w:val="24"/>
        </w:rPr>
        <w:t>2</w:t>
      </w:r>
      <w:r w:rsidRPr="00F2337E">
        <w:rPr>
          <w:b w:val="0"/>
          <w:bCs w:val="0"/>
          <w:i w:val="0"/>
          <w:color w:val="000000"/>
          <w:spacing w:val="3"/>
          <w:sz w:val="24"/>
        </w:rPr>
        <w:t xml:space="preserve">г. на </w:t>
      </w:r>
      <w:r w:rsidR="00990E1E">
        <w:rPr>
          <w:b w:val="0"/>
          <w:bCs w:val="0"/>
          <w:i w:val="0"/>
          <w:color w:val="000000"/>
          <w:spacing w:val="3"/>
          <w:sz w:val="24"/>
        </w:rPr>
        <w:t>176,9</w:t>
      </w:r>
      <w:r w:rsidRPr="00F2337E">
        <w:rPr>
          <w:b w:val="0"/>
          <w:bCs w:val="0"/>
          <w:i w:val="0"/>
          <w:color w:val="000000"/>
          <w:spacing w:val="3"/>
          <w:sz w:val="24"/>
        </w:rPr>
        <w:t xml:space="preserve"> тыс. руб. (-</w:t>
      </w:r>
      <w:r w:rsidR="00990E1E">
        <w:rPr>
          <w:b w:val="0"/>
          <w:bCs w:val="0"/>
          <w:i w:val="0"/>
          <w:color w:val="000000"/>
          <w:spacing w:val="3"/>
          <w:sz w:val="24"/>
        </w:rPr>
        <w:t>2</w:t>
      </w:r>
      <w:r w:rsidRPr="00F2337E">
        <w:rPr>
          <w:b w:val="0"/>
          <w:bCs w:val="0"/>
          <w:i w:val="0"/>
          <w:color w:val="000000"/>
          <w:spacing w:val="3"/>
          <w:sz w:val="24"/>
        </w:rPr>
        <w:t>%).</w:t>
      </w:r>
    </w:p>
    <w:p w:rsidR="002C41F6" w:rsidRPr="00C93383" w:rsidRDefault="002C41F6" w:rsidP="002C41F6">
      <w:pPr>
        <w:autoSpaceDE w:val="0"/>
        <w:autoSpaceDN w:val="0"/>
        <w:adjustRightInd w:val="0"/>
        <w:ind w:firstLine="540"/>
        <w:jc w:val="both"/>
        <w:rPr>
          <w:rFonts w:eastAsia="SimSun"/>
        </w:rPr>
      </w:pPr>
      <w:r w:rsidRPr="00F2337E">
        <w:rPr>
          <w:rFonts w:eastAsia="SimSun"/>
        </w:rPr>
        <w:t>Снижение расходов, в основном, связано с сокращением доходн</w:t>
      </w:r>
      <w:r w:rsidRPr="00C93383">
        <w:rPr>
          <w:rFonts w:eastAsia="SimSun"/>
        </w:rPr>
        <w:t>ой части бюджета.</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w:t>
      </w:r>
      <w:r w:rsidR="00C66D11">
        <w:t>1</w:t>
      </w:r>
      <w:r w:rsidR="00AD54F3">
        <w:t>-202</w:t>
      </w:r>
      <w:r w:rsidR="00C66D11">
        <w:t>3</w:t>
      </w:r>
      <w:r>
        <w:t>гг.</w:t>
      </w:r>
      <w:r w:rsidR="00D8062F">
        <w:t>,</w:t>
      </w:r>
      <w:r>
        <w:t xml:space="preserve"> с учетом оценки ожидаемого исполнения местного бюджета по расходам в 20</w:t>
      </w:r>
      <w:r w:rsidR="00C66D11">
        <w:t>20</w:t>
      </w:r>
      <w:r>
        <w:t xml:space="preserve"> году</w:t>
      </w:r>
      <w:r w:rsidR="00D8062F">
        <w:t>,</w:t>
      </w:r>
      <w:r>
        <w:t xml:space="preserve"> приведено в нижеследующей таблице</w:t>
      </w:r>
      <w:r w:rsidR="004E39A3">
        <w:t xml:space="preserve"> 3</w:t>
      </w:r>
      <w:r>
        <w:t xml:space="preserve"> (в тыс. руб.):</w:t>
      </w:r>
    </w:p>
    <w:p w:rsidR="004E39A3" w:rsidRDefault="004E39A3" w:rsidP="004E39A3">
      <w:pPr>
        <w:widowControl w:val="0"/>
        <w:numPr>
          <w:ilvl w:val="12"/>
          <w:numId w:val="0"/>
        </w:numPr>
        <w:ind w:firstLine="567"/>
        <w:jc w:val="right"/>
      </w:pPr>
    </w:p>
    <w:p w:rsidR="0003346E" w:rsidRDefault="004E39A3" w:rsidP="004E39A3">
      <w:pPr>
        <w:widowControl w:val="0"/>
        <w:numPr>
          <w:ilvl w:val="12"/>
          <w:numId w:val="0"/>
        </w:numPr>
        <w:ind w:firstLine="567"/>
        <w:jc w:val="right"/>
        <w:rPr>
          <w:i/>
        </w:rPr>
      </w:pPr>
      <w:r w:rsidRPr="002A7EBC">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9"/>
        <w:gridCol w:w="1119"/>
        <w:gridCol w:w="1113"/>
        <w:gridCol w:w="1118"/>
        <w:gridCol w:w="935"/>
        <w:gridCol w:w="1008"/>
        <w:gridCol w:w="1008"/>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0909E5">
              <w:rPr>
                <w:b/>
                <w:sz w:val="16"/>
                <w:szCs w:val="16"/>
              </w:rPr>
              <w:t>20</w:t>
            </w:r>
            <w:r w:rsidRPr="00601AE1">
              <w:rPr>
                <w:b/>
                <w:sz w:val="16"/>
                <w:szCs w:val="16"/>
              </w:rPr>
              <w:t>г.</w:t>
            </w:r>
          </w:p>
        </w:tc>
        <w:tc>
          <w:tcPr>
            <w:tcW w:w="1153" w:type="dxa"/>
            <w:vAlign w:val="center"/>
          </w:tcPr>
          <w:p w:rsidR="00832FBF" w:rsidRPr="00601AE1" w:rsidRDefault="00832FBF" w:rsidP="000909E5">
            <w:pPr>
              <w:widowControl w:val="0"/>
              <w:numPr>
                <w:ilvl w:val="12"/>
                <w:numId w:val="0"/>
              </w:numPr>
              <w:jc w:val="center"/>
              <w:rPr>
                <w:b/>
                <w:sz w:val="16"/>
                <w:szCs w:val="16"/>
              </w:rPr>
            </w:pPr>
            <w:r w:rsidRPr="00601AE1">
              <w:rPr>
                <w:b/>
                <w:sz w:val="16"/>
                <w:szCs w:val="16"/>
              </w:rPr>
              <w:t>20</w:t>
            </w:r>
            <w:r w:rsidR="00AD54F3" w:rsidRPr="00601AE1">
              <w:rPr>
                <w:b/>
                <w:sz w:val="16"/>
                <w:szCs w:val="16"/>
              </w:rPr>
              <w:t>2</w:t>
            </w:r>
            <w:r w:rsidR="000909E5">
              <w:rPr>
                <w:b/>
                <w:sz w:val="16"/>
                <w:szCs w:val="16"/>
              </w:rPr>
              <w:t>1</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w:t>
            </w:r>
            <w:r w:rsidR="000909E5">
              <w:rPr>
                <w:b/>
                <w:sz w:val="16"/>
                <w:szCs w:val="16"/>
              </w:rPr>
              <w:t>1</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w:t>
            </w:r>
            <w:r w:rsidR="000909E5">
              <w:rPr>
                <w:b/>
                <w:sz w:val="16"/>
                <w:szCs w:val="16"/>
              </w:rPr>
              <w:t>20</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2</w:t>
            </w:r>
            <w:r w:rsidRPr="00832FBF">
              <w:rPr>
                <w:b/>
                <w:sz w:val="16"/>
                <w:szCs w:val="16"/>
              </w:rPr>
              <w:t>г.</w:t>
            </w:r>
          </w:p>
        </w:tc>
        <w:tc>
          <w:tcPr>
            <w:tcW w:w="1039" w:type="dxa"/>
            <w:vAlign w:val="center"/>
          </w:tcPr>
          <w:p w:rsidR="00832FBF" w:rsidRPr="00832FBF" w:rsidRDefault="00832FBF" w:rsidP="000909E5">
            <w:pPr>
              <w:widowControl w:val="0"/>
              <w:numPr>
                <w:ilvl w:val="12"/>
                <w:numId w:val="0"/>
              </w:numPr>
              <w:jc w:val="center"/>
              <w:rPr>
                <w:b/>
                <w:sz w:val="16"/>
                <w:szCs w:val="16"/>
              </w:rPr>
            </w:pPr>
            <w:r w:rsidRPr="00832FBF">
              <w:rPr>
                <w:b/>
                <w:sz w:val="16"/>
                <w:szCs w:val="16"/>
              </w:rPr>
              <w:t>202</w:t>
            </w:r>
            <w:r w:rsidR="000909E5">
              <w:rPr>
                <w:b/>
                <w:sz w:val="16"/>
                <w:szCs w:val="16"/>
              </w:rPr>
              <w:t>3</w:t>
            </w:r>
            <w:r w:rsidRPr="00832FBF">
              <w:rPr>
                <w:b/>
                <w:sz w:val="16"/>
                <w:szCs w:val="16"/>
              </w:rPr>
              <w:t>г.</w:t>
            </w:r>
          </w:p>
        </w:tc>
      </w:tr>
      <w:tr w:rsidR="0001631C" w:rsidRPr="002A072A" w:rsidTr="0001631C">
        <w:tc>
          <w:tcPr>
            <w:tcW w:w="3391" w:type="dxa"/>
          </w:tcPr>
          <w:p w:rsidR="0001631C" w:rsidRPr="00883B52" w:rsidRDefault="0001631C"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01631C" w:rsidRPr="00601AE1" w:rsidRDefault="0001631C" w:rsidP="006D30B0">
            <w:pPr>
              <w:widowControl w:val="0"/>
              <w:numPr>
                <w:ilvl w:val="12"/>
                <w:numId w:val="0"/>
              </w:numPr>
              <w:jc w:val="center"/>
              <w:rPr>
                <w:b/>
                <w:sz w:val="16"/>
                <w:szCs w:val="16"/>
              </w:rPr>
            </w:pPr>
            <w:r>
              <w:rPr>
                <w:b/>
                <w:sz w:val="16"/>
                <w:szCs w:val="16"/>
              </w:rPr>
              <w:t>13278,9</w:t>
            </w:r>
          </w:p>
        </w:tc>
        <w:tc>
          <w:tcPr>
            <w:tcW w:w="1153" w:type="dxa"/>
            <w:vAlign w:val="center"/>
          </w:tcPr>
          <w:p w:rsidR="0001631C" w:rsidRPr="00601AE1" w:rsidRDefault="0001631C" w:rsidP="006D30B0">
            <w:pPr>
              <w:widowControl w:val="0"/>
              <w:numPr>
                <w:ilvl w:val="12"/>
                <w:numId w:val="0"/>
              </w:numPr>
              <w:jc w:val="center"/>
              <w:rPr>
                <w:b/>
                <w:sz w:val="16"/>
                <w:szCs w:val="16"/>
              </w:rPr>
            </w:pPr>
            <w:r>
              <w:rPr>
                <w:b/>
                <w:sz w:val="16"/>
                <w:szCs w:val="16"/>
              </w:rPr>
              <w:t>9418,9</w:t>
            </w:r>
          </w:p>
        </w:tc>
        <w:tc>
          <w:tcPr>
            <w:tcW w:w="1153" w:type="dxa"/>
            <w:vAlign w:val="center"/>
          </w:tcPr>
          <w:p w:rsidR="0001631C" w:rsidRPr="0001631C" w:rsidRDefault="0001631C" w:rsidP="0001631C">
            <w:pPr>
              <w:jc w:val="center"/>
              <w:rPr>
                <w:b/>
                <w:sz w:val="18"/>
                <w:szCs w:val="18"/>
              </w:rPr>
            </w:pPr>
            <w:r w:rsidRPr="0001631C">
              <w:rPr>
                <w:b/>
                <w:sz w:val="18"/>
                <w:szCs w:val="18"/>
              </w:rPr>
              <w:t>-3860</w:t>
            </w:r>
          </w:p>
        </w:tc>
        <w:tc>
          <w:tcPr>
            <w:tcW w:w="956" w:type="dxa"/>
            <w:vAlign w:val="center"/>
          </w:tcPr>
          <w:p w:rsidR="0001631C" w:rsidRPr="0001631C" w:rsidRDefault="0001631C" w:rsidP="0001631C">
            <w:pPr>
              <w:jc w:val="center"/>
              <w:rPr>
                <w:b/>
                <w:sz w:val="18"/>
                <w:szCs w:val="18"/>
              </w:rPr>
            </w:pPr>
            <w:r w:rsidRPr="0001631C">
              <w:rPr>
                <w:b/>
                <w:sz w:val="18"/>
                <w:szCs w:val="18"/>
              </w:rPr>
              <w:t>70,9</w:t>
            </w:r>
          </w:p>
        </w:tc>
        <w:tc>
          <w:tcPr>
            <w:tcW w:w="1039" w:type="dxa"/>
            <w:vAlign w:val="center"/>
          </w:tcPr>
          <w:p w:rsidR="0001631C" w:rsidRPr="00832FBF" w:rsidRDefault="0001631C" w:rsidP="00E85B1E">
            <w:pPr>
              <w:widowControl w:val="0"/>
              <w:numPr>
                <w:ilvl w:val="12"/>
                <w:numId w:val="0"/>
              </w:numPr>
              <w:jc w:val="center"/>
              <w:rPr>
                <w:b/>
                <w:sz w:val="16"/>
                <w:szCs w:val="16"/>
              </w:rPr>
            </w:pPr>
            <w:r>
              <w:rPr>
                <w:b/>
                <w:sz w:val="16"/>
                <w:szCs w:val="16"/>
              </w:rPr>
              <w:t>8842</w:t>
            </w:r>
          </w:p>
        </w:tc>
        <w:tc>
          <w:tcPr>
            <w:tcW w:w="1039" w:type="dxa"/>
            <w:vAlign w:val="center"/>
          </w:tcPr>
          <w:p w:rsidR="0001631C" w:rsidRPr="00832FBF" w:rsidRDefault="0001631C" w:rsidP="00DB5C6B">
            <w:pPr>
              <w:widowControl w:val="0"/>
              <w:numPr>
                <w:ilvl w:val="12"/>
                <w:numId w:val="0"/>
              </w:numPr>
              <w:jc w:val="center"/>
              <w:rPr>
                <w:b/>
                <w:sz w:val="16"/>
                <w:szCs w:val="16"/>
              </w:rPr>
            </w:pPr>
            <w:r>
              <w:rPr>
                <w:b/>
                <w:sz w:val="16"/>
                <w:szCs w:val="16"/>
              </w:rPr>
              <w:t>8456,3</w:t>
            </w:r>
          </w:p>
        </w:tc>
      </w:tr>
      <w:tr w:rsidR="0001631C" w:rsidRPr="002A072A" w:rsidTr="0001631C">
        <w:tc>
          <w:tcPr>
            <w:tcW w:w="3391" w:type="dxa"/>
          </w:tcPr>
          <w:p w:rsidR="0001631C" w:rsidRPr="00832FBF" w:rsidRDefault="0001631C"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01631C" w:rsidRPr="00601AE1" w:rsidRDefault="0001631C" w:rsidP="006D30B0">
            <w:pPr>
              <w:widowControl w:val="0"/>
              <w:numPr>
                <w:ilvl w:val="12"/>
                <w:numId w:val="0"/>
              </w:numPr>
              <w:jc w:val="center"/>
              <w:rPr>
                <w:b/>
                <w:sz w:val="16"/>
                <w:szCs w:val="16"/>
              </w:rPr>
            </w:pPr>
            <w:r>
              <w:rPr>
                <w:b/>
                <w:sz w:val="16"/>
                <w:szCs w:val="16"/>
              </w:rPr>
              <w:t>4537,7</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4219,4</w:t>
            </w:r>
          </w:p>
        </w:tc>
        <w:tc>
          <w:tcPr>
            <w:tcW w:w="1153" w:type="dxa"/>
            <w:vAlign w:val="center"/>
          </w:tcPr>
          <w:p w:rsidR="0001631C" w:rsidRPr="0001631C" w:rsidRDefault="0001631C" w:rsidP="0001631C">
            <w:pPr>
              <w:jc w:val="center"/>
              <w:rPr>
                <w:b/>
                <w:sz w:val="18"/>
                <w:szCs w:val="18"/>
              </w:rPr>
            </w:pPr>
            <w:r w:rsidRPr="0001631C">
              <w:rPr>
                <w:b/>
                <w:sz w:val="18"/>
                <w:szCs w:val="18"/>
              </w:rPr>
              <w:t>-318,3</w:t>
            </w:r>
          </w:p>
        </w:tc>
        <w:tc>
          <w:tcPr>
            <w:tcW w:w="956" w:type="dxa"/>
            <w:vAlign w:val="center"/>
          </w:tcPr>
          <w:p w:rsidR="0001631C" w:rsidRPr="0001631C" w:rsidRDefault="0001631C" w:rsidP="0001631C">
            <w:pPr>
              <w:jc w:val="center"/>
              <w:rPr>
                <w:b/>
                <w:sz w:val="18"/>
                <w:szCs w:val="18"/>
              </w:rPr>
            </w:pPr>
            <w:r w:rsidRPr="0001631C">
              <w:rPr>
                <w:b/>
                <w:sz w:val="18"/>
                <w:szCs w:val="18"/>
              </w:rPr>
              <w:t>93</w:t>
            </w:r>
          </w:p>
        </w:tc>
        <w:tc>
          <w:tcPr>
            <w:tcW w:w="1039" w:type="dxa"/>
            <w:vAlign w:val="center"/>
          </w:tcPr>
          <w:p w:rsidR="0001631C" w:rsidRPr="00832FBF" w:rsidRDefault="0001631C" w:rsidP="00DB5C6B">
            <w:pPr>
              <w:widowControl w:val="0"/>
              <w:numPr>
                <w:ilvl w:val="12"/>
                <w:numId w:val="0"/>
              </w:numPr>
              <w:jc w:val="center"/>
              <w:rPr>
                <w:b/>
                <w:sz w:val="16"/>
                <w:szCs w:val="16"/>
              </w:rPr>
            </w:pPr>
            <w:r>
              <w:rPr>
                <w:b/>
                <w:sz w:val="16"/>
                <w:szCs w:val="16"/>
              </w:rPr>
              <w:t>4233,6</w:t>
            </w:r>
          </w:p>
        </w:tc>
        <w:tc>
          <w:tcPr>
            <w:tcW w:w="1039" w:type="dxa"/>
            <w:vAlign w:val="center"/>
          </w:tcPr>
          <w:p w:rsidR="0001631C" w:rsidRPr="00832FBF" w:rsidRDefault="0001631C" w:rsidP="00DB5C6B">
            <w:pPr>
              <w:widowControl w:val="0"/>
              <w:numPr>
                <w:ilvl w:val="12"/>
                <w:numId w:val="0"/>
              </w:numPr>
              <w:jc w:val="center"/>
              <w:rPr>
                <w:b/>
                <w:sz w:val="16"/>
                <w:szCs w:val="16"/>
              </w:rPr>
            </w:pPr>
            <w:r>
              <w:rPr>
                <w:b/>
                <w:sz w:val="16"/>
                <w:szCs w:val="16"/>
              </w:rPr>
              <w:t>4164,1</w:t>
            </w:r>
          </w:p>
        </w:tc>
      </w:tr>
      <w:tr w:rsidR="0001631C" w:rsidRPr="002A072A" w:rsidTr="0001631C">
        <w:tc>
          <w:tcPr>
            <w:tcW w:w="3391" w:type="dxa"/>
          </w:tcPr>
          <w:p w:rsidR="0001631C" w:rsidRPr="001E0253" w:rsidRDefault="0001631C"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1000,9</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867</w:t>
            </w:r>
          </w:p>
        </w:tc>
        <w:tc>
          <w:tcPr>
            <w:tcW w:w="1153" w:type="dxa"/>
            <w:vAlign w:val="center"/>
          </w:tcPr>
          <w:p w:rsidR="0001631C" w:rsidRPr="0001631C" w:rsidRDefault="0001631C" w:rsidP="0001631C">
            <w:pPr>
              <w:jc w:val="center"/>
              <w:rPr>
                <w:sz w:val="18"/>
                <w:szCs w:val="18"/>
              </w:rPr>
            </w:pPr>
            <w:r w:rsidRPr="0001631C">
              <w:rPr>
                <w:sz w:val="18"/>
                <w:szCs w:val="18"/>
              </w:rPr>
              <w:t>-133,9</w:t>
            </w:r>
          </w:p>
        </w:tc>
        <w:tc>
          <w:tcPr>
            <w:tcW w:w="956" w:type="dxa"/>
            <w:vAlign w:val="center"/>
          </w:tcPr>
          <w:p w:rsidR="0001631C" w:rsidRPr="0001631C" w:rsidRDefault="0001631C" w:rsidP="0001631C">
            <w:pPr>
              <w:jc w:val="center"/>
              <w:rPr>
                <w:sz w:val="18"/>
                <w:szCs w:val="18"/>
              </w:rPr>
            </w:pPr>
            <w:r w:rsidRPr="0001631C">
              <w:rPr>
                <w:sz w:val="18"/>
                <w:szCs w:val="18"/>
              </w:rPr>
              <w:t>86,6</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867</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867</w:t>
            </w:r>
          </w:p>
        </w:tc>
      </w:tr>
      <w:tr w:rsidR="0001631C" w:rsidRPr="002A072A" w:rsidTr="0001631C">
        <w:tc>
          <w:tcPr>
            <w:tcW w:w="3391" w:type="dxa"/>
          </w:tcPr>
          <w:p w:rsidR="0001631C" w:rsidRPr="001E0253" w:rsidRDefault="0001631C"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1</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1</w:t>
            </w:r>
          </w:p>
        </w:tc>
        <w:tc>
          <w:tcPr>
            <w:tcW w:w="1153" w:type="dxa"/>
            <w:vAlign w:val="center"/>
          </w:tcPr>
          <w:p w:rsidR="0001631C" w:rsidRPr="0001631C" w:rsidRDefault="0001631C" w:rsidP="0001631C">
            <w:pPr>
              <w:jc w:val="center"/>
              <w:rPr>
                <w:sz w:val="18"/>
                <w:szCs w:val="18"/>
              </w:rPr>
            </w:pPr>
            <w:r w:rsidRPr="0001631C">
              <w:rPr>
                <w:sz w:val="18"/>
                <w:szCs w:val="18"/>
              </w:rPr>
              <w:t>0</w:t>
            </w:r>
            <w:r>
              <w:rPr>
                <w:sz w:val="18"/>
                <w:szCs w:val="18"/>
              </w:rPr>
              <w:t>,0</w:t>
            </w:r>
          </w:p>
        </w:tc>
        <w:tc>
          <w:tcPr>
            <w:tcW w:w="956" w:type="dxa"/>
            <w:vAlign w:val="center"/>
          </w:tcPr>
          <w:p w:rsidR="0001631C" w:rsidRPr="0001631C" w:rsidRDefault="0001631C" w:rsidP="0001631C">
            <w:pPr>
              <w:jc w:val="center"/>
              <w:rPr>
                <w:sz w:val="18"/>
                <w:szCs w:val="18"/>
              </w:rPr>
            </w:pPr>
            <w:r w:rsidRPr="0001631C">
              <w:rPr>
                <w:sz w:val="18"/>
                <w:szCs w:val="18"/>
              </w:rPr>
              <w:t>100</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1</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1</w:t>
            </w:r>
          </w:p>
        </w:tc>
      </w:tr>
      <w:tr w:rsidR="0001631C" w:rsidRPr="002A072A" w:rsidTr="0001631C">
        <w:tc>
          <w:tcPr>
            <w:tcW w:w="3391" w:type="dxa"/>
          </w:tcPr>
          <w:p w:rsidR="0001631C" w:rsidRPr="001E0253" w:rsidRDefault="0001631C"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3523,1</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3338,7</w:t>
            </w:r>
          </w:p>
        </w:tc>
        <w:tc>
          <w:tcPr>
            <w:tcW w:w="1153" w:type="dxa"/>
            <w:vAlign w:val="center"/>
          </w:tcPr>
          <w:p w:rsidR="0001631C" w:rsidRPr="0001631C" w:rsidRDefault="0001631C" w:rsidP="0001631C">
            <w:pPr>
              <w:jc w:val="center"/>
              <w:rPr>
                <w:sz w:val="18"/>
                <w:szCs w:val="18"/>
              </w:rPr>
            </w:pPr>
            <w:r w:rsidRPr="0001631C">
              <w:rPr>
                <w:sz w:val="18"/>
                <w:szCs w:val="18"/>
              </w:rPr>
              <w:t>-184,4</w:t>
            </w:r>
          </w:p>
        </w:tc>
        <w:tc>
          <w:tcPr>
            <w:tcW w:w="956" w:type="dxa"/>
            <w:vAlign w:val="center"/>
          </w:tcPr>
          <w:p w:rsidR="0001631C" w:rsidRPr="0001631C" w:rsidRDefault="0001631C" w:rsidP="0001631C">
            <w:pPr>
              <w:jc w:val="center"/>
              <w:rPr>
                <w:sz w:val="18"/>
                <w:szCs w:val="18"/>
              </w:rPr>
            </w:pPr>
            <w:r w:rsidRPr="0001631C">
              <w:rPr>
                <w:sz w:val="18"/>
                <w:szCs w:val="18"/>
              </w:rPr>
              <w:t>94,8</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3182,9</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3283,4</w:t>
            </w:r>
          </w:p>
        </w:tc>
      </w:tr>
      <w:tr w:rsidR="0001631C" w:rsidRPr="002A072A" w:rsidTr="00176268">
        <w:tc>
          <w:tcPr>
            <w:tcW w:w="3391" w:type="dxa"/>
          </w:tcPr>
          <w:p w:rsidR="0001631C" w:rsidRPr="001E0253" w:rsidRDefault="0001631C"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01631C" w:rsidRDefault="0001631C" w:rsidP="00DB5C6B">
            <w:pPr>
              <w:widowControl w:val="0"/>
              <w:numPr>
                <w:ilvl w:val="12"/>
                <w:numId w:val="0"/>
              </w:numPr>
              <w:jc w:val="center"/>
              <w:rPr>
                <w:sz w:val="16"/>
                <w:szCs w:val="16"/>
              </w:rPr>
            </w:pPr>
            <w:r>
              <w:rPr>
                <w:sz w:val="16"/>
                <w:szCs w:val="16"/>
              </w:rPr>
              <w:t>0,0</w:t>
            </w:r>
          </w:p>
        </w:tc>
        <w:tc>
          <w:tcPr>
            <w:tcW w:w="1153" w:type="dxa"/>
            <w:vAlign w:val="center"/>
          </w:tcPr>
          <w:p w:rsidR="0001631C" w:rsidRDefault="0001631C" w:rsidP="00DB5C6B">
            <w:pPr>
              <w:widowControl w:val="0"/>
              <w:numPr>
                <w:ilvl w:val="12"/>
                <w:numId w:val="0"/>
              </w:numPr>
              <w:jc w:val="center"/>
              <w:rPr>
                <w:sz w:val="16"/>
                <w:szCs w:val="16"/>
              </w:rPr>
            </w:pPr>
            <w:r>
              <w:rPr>
                <w:sz w:val="16"/>
                <w:szCs w:val="16"/>
              </w:rPr>
              <w:t>0,0</w:t>
            </w:r>
          </w:p>
        </w:tc>
        <w:tc>
          <w:tcPr>
            <w:tcW w:w="1153" w:type="dxa"/>
          </w:tcPr>
          <w:p w:rsidR="0001631C" w:rsidRDefault="0001631C" w:rsidP="0001631C">
            <w:pPr>
              <w:jc w:val="center"/>
            </w:pPr>
            <w:r w:rsidRPr="00C57AEB">
              <w:rPr>
                <w:sz w:val="18"/>
                <w:szCs w:val="18"/>
              </w:rPr>
              <w:t>0,0</w:t>
            </w:r>
          </w:p>
        </w:tc>
        <w:tc>
          <w:tcPr>
            <w:tcW w:w="956" w:type="dxa"/>
            <w:vAlign w:val="center"/>
          </w:tcPr>
          <w:p w:rsidR="0001631C" w:rsidRPr="0001631C" w:rsidRDefault="0001631C" w:rsidP="0001631C">
            <w:pPr>
              <w:jc w:val="center"/>
              <w:rPr>
                <w:sz w:val="18"/>
                <w:szCs w:val="18"/>
              </w:rPr>
            </w:pPr>
            <w:r>
              <w:rPr>
                <w:sz w:val="18"/>
                <w:szCs w:val="18"/>
              </w:rPr>
              <w:t>-</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170</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0,0</w:t>
            </w:r>
          </w:p>
        </w:tc>
      </w:tr>
      <w:tr w:rsidR="0001631C" w:rsidRPr="002A072A" w:rsidTr="00176268">
        <w:tc>
          <w:tcPr>
            <w:tcW w:w="3391" w:type="dxa"/>
          </w:tcPr>
          <w:p w:rsidR="0001631C" w:rsidRPr="00883B52" w:rsidRDefault="0001631C" w:rsidP="006D30B0">
            <w:pPr>
              <w:widowControl w:val="0"/>
              <w:rPr>
                <w:sz w:val="16"/>
                <w:szCs w:val="16"/>
              </w:rPr>
            </w:pPr>
            <w:r w:rsidRPr="00883B52">
              <w:rPr>
                <w:sz w:val="16"/>
                <w:szCs w:val="16"/>
              </w:rPr>
              <w:t>Резервный фонд (0111)</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12</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12</w:t>
            </w:r>
          </w:p>
        </w:tc>
        <w:tc>
          <w:tcPr>
            <w:tcW w:w="1153" w:type="dxa"/>
          </w:tcPr>
          <w:p w:rsidR="0001631C" w:rsidRDefault="0001631C" w:rsidP="0001631C">
            <w:pPr>
              <w:jc w:val="center"/>
            </w:pPr>
            <w:r w:rsidRPr="00C57AEB">
              <w:rPr>
                <w:sz w:val="18"/>
                <w:szCs w:val="18"/>
              </w:rPr>
              <w:t>0,0</w:t>
            </w:r>
          </w:p>
        </w:tc>
        <w:tc>
          <w:tcPr>
            <w:tcW w:w="956" w:type="dxa"/>
            <w:vAlign w:val="center"/>
          </w:tcPr>
          <w:p w:rsidR="0001631C" w:rsidRPr="0001631C" w:rsidRDefault="0001631C" w:rsidP="0001631C">
            <w:pPr>
              <w:jc w:val="center"/>
              <w:rPr>
                <w:sz w:val="18"/>
                <w:szCs w:val="18"/>
              </w:rPr>
            </w:pPr>
            <w:r w:rsidRPr="0001631C">
              <w:rPr>
                <w:sz w:val="18"/>
                <w:szCs w:val="18"/>
              </w:rPr>
              <w:t>100</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12</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12</w:t>
            </w:r>
          </w:p>
        </w:tc>
      </w:tr>
      <w:tr w:rsidR="0001631C" w:rsidRPr="002A072A" w:rsidTr="00176268">
        <w:tc>
          <w:tcPr>
            <w:tcW w:w="3391" w:type="dxa"/>
          </w:tcPr>
          <w:p w:rsidR="0001631C" w:rsidRPr="00883B52" w:rsidRDefault="0001631C"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0,7</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0,7</w:t>
            </w:r>
          </w:p>
        </w:tc>
        <w:tc>
          <w:tcPr>
            <w:tcW w:w="1153" w:type="dxa"/>
          </w:tcPr>
          <w:p w:rsidR="0001631C" w:rsidRDefault="0001631C" w:rsidP="0001631C">
            <w:pPr>
              <w:jc w:val="center"/>
            </w:pPr>
            <w:r w:rsidRPr="00C57AEB">
              <w:rPr>
                <w:sz w:val="18"/>
                <w:szCs w:val="18"/>
              </w:rPr>
              <w:t>0,0</w:t>
            </w:r>
          </w:p>
        </w:tc>
        <w:tc>
          <w:tcPr>
            <w:tcW w:w="956" w:type="dxa"/>
            <w:vAlign w:val="center"/>
          </w:tcPr>
          <w:p w:rsidR="0001631C" w:rsidRPr="0001631C" w:rsidRDefault="0001631C" w:rsidP="0001631C">
            <w:pPr>
              <w:jc w:val="center"/>
              <w:rPr>
                <w:sz w:val="18"/>
                <w:szCs w:val="18"/>
              </w:rPr>
            </w:pPr>
            <w:r w:rsidRPr="0001631C">
              <w:rPr>
                <w:sz w:val="18"/>
                <w:szCs w:val="18"/>
              </w:rPr>
              <w:t>100</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0,7</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0,7</w:t>
            </w:r>
          </w:p>
        </w:tc>
      </w:tr>
      <w:tr w:rsidR="0001631C" w:rsidRPr="002A072A" w:rsidTr="0001631C">
        <w:tc>
          <w:tcPr>
            <w:tcW w:w="3391" w:type="dxa"/>
          </w:tcPr>
          <w:p w:rsidR="0001631C" w:rsidRPr="00883B52" w:rsidRDefault="0001631C"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01631C" w:rsidRPr="00601AE1" w:rsidRDefault="0001631C" w:rsidP="00DB5C6B">
            <w:pPr>
              <w:widowControl w:val="0"/>
              <w:numPr>
                <w:ilvl w:val="12"/>
                <w:numId w:val="0"/>
              </w:numPr>
              <w:jc w:val="center"/>
              <w:rPr>
                <w:b/>
                <w:sz w:val="16"/>
                <w:szCs w:val="16"/>
              </w:rPr>
            </w:pPr>
            <w:r>
              <w:rPr>
                <w:b/>
                <w:sz w:val="16"/>
                <w:szCs w:val="16"/>
              </w:rPr>
              <w:t>134,1</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137,3</w:t>
            </w:r>
          </w:p>
        </w:tc>
        <w:tc>
          <w:tcPr>
            <w:tcW w:w="1153" w:type="dxa"/>
            <w:vAlign w:val="center"/>
          </w:tcPr>
          <w:p w:rsidR="0001631C" w:rsidRPr="0001631C" w:rsidRDefault="0001631C" w:rsidP="0001631C">
            <w:pPr>
              <w:jc w:val="center"/>
              <w:rPr>
                <w:b/>
                <w:sz w:val="18"/>
                <w:szCs w:val="18"/>
              </w:rPr>
            </w:pPr>
            <w:r w:rsidRPr="0001631C">
              <w:rPr>
                <w:b/>
                <w:sz w:val="18"/>
                <w:szCs w:val="18"/>
              </w:rPr>
              <w:t>3,2</w:t>
            </w:r>
          </w:p>
        </w:tc>
        <w:tc>
          <w:tcPr>
            <w:tcW w:w="956" w:type="dxa"/>
            <w:vAlign w:val="center"/>
          </w:tcPr>
          <w:p w:rsidR="0001631C" w:rsidRPr="0001631C" w:rsidRDefault="0001631C" w:rsidP="0001631C">
            <w:pPr>
              <w:jc w:val="center"/>
              <w:rPr>
                <w:b/>
                <w:sz w:val="18"/>
                <w:szCs w:val="18"/>
              </w:rPr>
            </w:pPr>
            <w:r w:rsidRPr="0001631C">
              <w:rPr>
                <w:b/>
                <w:sz w:val="18"/>
                <w:szCs w:val="18"/>
              </w:rPr>
              <w:t>102,4</w:t>
            </w:r>
          </w:p>
        </w:tc>
        <w:tc>
          <w:tcPr>
            <w:tcW w:w="1039" w:type="dxa"/>
            <w:vAlign w:val="center"/>
          </w:tcPr>
          <w:p w:rsidR="0001631C" w:rsidRPr="0073485F" w:rsidRDefault="0001631C" w:rsidP="00DB5C6B">
            <w:pPr>
              <w:widowControl w:val="0"/>
              <w:numPr>
                <w:ilvl w:val="12"/>
                <w:numId w:val="0"/>
              </w:numPr>
              <w:jc w:val="center"/>
              <w:rPr>
                <w:b/>
                <w:sz w:val="16"/>
                <w:szCs w:val="16"/>
              </w:rPr>
            </w:pPr>
            <w:r>
              <w:rPr>
                <w:b/>
                <w:sz w:val="16"/>
                <w:szCs w:val="16"/>
              </w:rPr>
              <w:t>138,8</w:t>
            </w:r>
          </w:p>
        </w:tc>
        <w:tc>
          <w:tcPr>
            <w:tcW w:w="1039" w:type="dxa"/>
            <w:vAlign w:val="center"/>
          </w:tcPr>
          <w:p w:rsidR="0001631C" w:rsidRPr="0073485F" w:rsidRDefault="0001631C" w:rsidP="00DB5C6B">
            <w:pPr>
              <w:widowControl w:val="0"/>
              <w:numPr>
                <w:ilvl w:val="12"/>
                <w:numId w:val="0"/>
              </w:numPr>
              <w:jc w:val="center"/>
              <w:rPr>
                <w:b/>
                <w:sz w:val="16"/>
                <w:szCs w:val="16"/>
              </w:rPr>
            </w:pPr>
            <w:r>
              <w:rPr>
                <w:b/>
                <w:sz w:val="16"/>
                <w:szCs w:val="16"/>
              </w:rPr>
              <w:t>144,5</w:t>
            </w:r>
          </w:p>
        </w:tc>
      </w:tr>
      <w:tr w:rsidR="0001631C" w:rsidRPr="002A072A" w:rsidTr="0001631C">
        <w:tc>
          <w:tcPr>
            <w:tcW w:w="3391" w:type="dxa"/>
          </w:tcPr>
          <w:p w:rsidR="0001631C" w:rsidRPr="0073485F" w:rsidRDefault="0001631C"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134,1</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137,3</w:t>
            </w:r>
          </w:p>
        </w:tc>
        <w:tc>
          <w:tcPr>
            <w:tcW w:w="1153" w:type="dxa"/>
            <w:vAlign w:val="center"/>
          </w:tcPr>
          <w:p w:rsidR="0001631C" w:rsidRPr="0001631C" w:rsidRDefault="0001631C" w:rsidP="0001631C">
            <w:pPr>
              <w:jc w:val="center"/>
              <w:rPr>
                <w:sz w:val="18"/>
                <w:szCs w:val="18"/>
              </w:rPr>
            </w:pPr>
            <w:r w:rsidRPr="0001631C">
              <w:rPr>
                <w:sz w:val="18"/>
                <w:szCs w:val="18"/>
              </w:rPr>
              <w:t>3,2</w:t>
            </w:r>
          </w:p>
        </w:tc>
        <w:tc>
          <w:tcPr>
            <w:tcW w:w="956" w:type="dxa"/>
            <w:vAlign w:val="center"/>
          </w:tcPr>
          <w:p w:rsidR="0001631C" w:rsidRPr="0001631C" w:rsidRDefault="0001631C" w:rsidP="0001631C">
            <w:pPr>
              <w:jc w:val="center"/>
              <w:rPr>
                <w:sz w:val="18"/>
                <w:szCs w:val="18"/>
              </w:rPr>
            </w:pPr>
            <w:r w:rsidRPr="0001631C">
              <w:rPr>
                <w:sz w:val="18"/>
                <w:szCs w:val="18"/>
              </w:rPr>
              <w:t>102,4</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138,8</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144,5</w:t>
            </w:r>
          </w:p>
        </w:tc>
      </w:tr>
      <w:tr w:rsidR="0001631C" w:rsidRPr="002A072A" w:rsidTr="0001631C">
        <w:tc>
          <w:tcPr>
            <w:tcW w:w="3391" w:type="dxa"/>
          </w:tcPr>
          <w:p w:rsidR="0001631C" w:rsidRPr="00832FBF" w:rsidRDefault="0001631C" w:rsidP="006D30B0">
            <w:pPr>
              <w:widowControl w:val="0"/>
              <w:rPr>
                <w:b/>
                <w:sz w:val="16"/>
                <w:szCs w:val="16"/>
              </w:rPr>
            </w:pPr>
            <w:r w:rsidRPr="00832FBF">
              <w:rPr>
                <w:b/>
                <w:bCs/>
                <w:sz w:val="16"/>
                <w:szCs w:val="16"/>
              </w:rPr>
              <w:t>Национальная безопасность и правоохранительная деятельность</w:t>
            </w:r>
          </w:p>
        </w:tc>
        <w:tc>
          <w:tcPr>
            <w:tcW w:w="1123" w:type="dxa"/>
            <w:vAlign w:val="center"/>
          </w:tcPr>
          <w:p w:rsidR="0001631C" w:rsidRPr="00601AE1" w:rsidRDefault="0001631C" w:rsidP="00DB5C6B">
            <w:pPr>
              <w:widowControl w:val="0"/>
              <w:numPr>
                <w:ilvl w:val="12"/>
                <w:numId w:val="0"/>
              </w:numPr>
              <w:jc w:val="center"/>
              <w:rPr>
                <w:b/>
                <w:sz w:val="16"/>
                <w:szCs w:val="16"/>
              </w:rPr>
            </w:pPr>
            <w:r>
              <w:rPr>
                <w:b/>
                <w:sz w:val="16"/>
                <w:szCs w:val="16"/>
              </w:rPr>
              <w:t>12,5</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0,0</w:t>
            </w:r>
          </w:p>
        </w:tc>
        <w:tc>
          <w:tcPr>
            <w:tcW w:w="1153" w:type="dxa"/>
            <w:vAlign w:val="center"/>
          </w:tcPr>
          <w:p w:rsidR="0001631C" w:rsidRPr="0001631C" w:rsidRDefault="0001631C" w:rsidP="0001631C">
            <w:pPr>
              <w:jc w:val="center"/>
              <w:rPr>
                <w:b/>
                <w:sz w:val="18"/>
                <w:szCs w:val="18"/>
              </w:rPr>
            </w:pPr>
            <w:r w:rsidRPr="0001631C">
              <w:rPr>
                <w:b/>
                <w:sz w:val="18"/>
                <w:szCs w:val="18"/>
              </w:rPr>
              <w:t>-12,5</w:t>
            </w:r>
          </w:p>
        </w:tc>
        <w:tc>
          <w:tcPr>
            <w:tcW w:w="956" w:type="dxa"/>
            <w:vAlign w:val="center"/>
          </w:tcPr>
          <w:p w:rsidR="0001631C" w:rsidRPr="0001631C" w:rsidRDefault="0001631C" w:rsidP="0001631C">
            <w:pPr>
              <w:jc w:val="center"/>
              <w:rPr>
                <w:b/>
                <w:sz w:val="18"/>
                <w:szCs w:val="18"/>
              </w:rPr>
            </w:pPr>
            <w:r w:rsidRPr="0001631C">
              <w:rPr>
                <w:b/>
                <w:sz w:val="18"/>
                <w:szCs w:val="18"/>
              </w:rPr>
              <w:t>-</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0,0</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0,0</w:t>
            </w:r>
          </w:p>
        </w:tc>
      </w:tr>
      <w:tr w:rsidR="0001631C" w:rsidRPr="002A072A" w:rsidTr="0001631C">
        <w:tc>
          <w:tcPr>
            <w:tcW w:w="3391" w:type="dxa"/>
          </w:tcPr>
          <w:p w:rsidR="0001631C" w:rsidRPr="002B6228" w:rsidRDefault="0001631C" w:rsidP="002B6228">
            <w:pPr>
              <w:pStyle w:val="af2"/>
              <w:rPr>
                <w:rFonts w:ascii="Times New Roman" w:hAnsi="Times New Roman" w:cs="Times New Roman"/>
                <w:sz w:val="16"/>
                <w:szCs w:val="16"/>
              </w:rPr>
            </w:pPr>
            <w:r w:rsidRPr="002B6228">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r>
              <w:rPr>
                <w:rFonts w:ascii="Times New Roman" w:hAnsi="Times New Roman" w:cs="Times New Roman"/>
                <w:sz w:val="16"/>
                <w:szCs w:val="16"/>
              </w:rPr>
              <w:t xml:space="preserve"> </w:t>
            </w:r>
            <w:r w:rsidRPr="002B6228">
              <w:rPr>
                <w:rFonts w:ascii="Times New Roman" w:hAnsi="Times New Roman" w:cs="Times New Roman"/>
                <w:sz w:val="16"/>
                <w:szCs w:val="16"/>
              </w:rPr>
              <w:t xml:space="preserve"> (0310)</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12,5</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0,0</w:t>
            </w:r>
          </w:p>
        </w:tc>
        <w:tc>
          <w:tcPr>
            <w:tcW w:w="1153" w:type="dxa"/>
            <w:vAlign w:val="center"/>
          </w:tcPr>
          <w:p w:rsidR="0001631C" w:rsidRPr="0001631C" w:rsidRDefault="0001631C" w:rsidP="0001631C">
            <w:pPr>
              <w:jc w:val="center"/>
              <w:rPr>
                <w:sz w:val="18"/>
                <w:szCs w:val="18"/>
              </w:rPr>
            </w:pPr>
            <w:r w:rsidRPr="0001631C">
              <w:rPr>
                <w:sz w:val="18"/>
                <w:szCs w:val="18"/>
              </w:rPr>
              <w:t>-12,5</w:t>
            </w:r>
          </w:p>
        </w:tc>
        <w:tc>
          <w:tcPr>
            <w:tcW w:w="956" w:type="dxa"/>
            <w:vAlign w:val="center"/>
          </w:tcPr>
          <w:p w:rsidR="0001631C" w:rsidRPr="0001631C" w:rsidRDefault="0001631C" w:rsidP="0001631C">
            <w:pPr>
              <w:jc w:val="center"/>
              <w:rPr>
                <w:sz w:val="18"/>
                <w:szCs w:val="18"/>
              </w:rPr>
            </w:pPr>
            <w:r>
              <w:rPr>
                <w:sz w:val="18"/>
                <w:szCs w:val="18"/>
              </w:rPr>
              <w:t>-</w:t>
            </w:r>
          </w:p>
        </w:tc>
        <w:tc>
          <w:tcPr>
            <w:tcW w:w="1039" w:type="dxa"/>
            <w:vAlign w:val="center"/>
          </w:tcPr>
          <w:p w:rsidR="0001631C" w:rsidRPr="008C0446" w:rsidRDefault="0001631C" w:rsidP="00BC5359">
            <w:pPr>
              <w:widowControl w:val="0"/>
              <w:numPr>
                <w:ilvl w:val="12"/>
                <w:numId w:val="0"/>
              </w:numPr>
              <w:jc w:val="center"/>
              <w:rPr>
                <w:sz w:val="16"/>
                <w:szCs w:val="16"/>
              </w:rPr>
            </w:pPr>
            <w:r>
              <w:rPr>
                <w:sz w:val="16"/>
                <w:szCs w:val="16"/>
              </w:rPr>
              <w:t>0,0</w:t>
            </w:r>
          </w:p>
        </w:tc>
        <w:tc>
          <w:tcPr>
            <w:tcW w:w="1039" w:type="dxa"/>
            <w:vAlign w:val="center"/>
          </w:tcPr>
          <w:p w:rsidR="0001631C" w:rsidRPr="008C0446" w:rsidRDefault="0001631C" w:rsidP="00BC5359">
            <w:pPr>
              <w:widowControl w:val="0"/>
              <w:numPr>
                <w:ilvl w:val="12"/>
                <w:numId w:val="0"/>
              </w:numPr>
              <w:jc w:val="center"/>
              <w:rPr>
                <w:sz w:val="16"/>
                <w:szCs w:val="16"/>
              </w:rPr>
            </w:pPr>
            <w:r>
              <w:rPr>
                <w:sz w:val="16"/>
                <w:szCs w:val="16"/>
              </w:rPr>
              <w:t>0,0</w:t>
            </w:r>
          </w:p>
        </w:tc>
      </w:tr>
      <w:tr w:rsidR="0001631C" w:rsidRPr="002A072A" w:rsidTr="0001631C">
        <w:tc>
          <w:tcPr>
            <w:tcW w:w="3391" w:type="dxa"/>
          </w:tcPr>
          <w:p w:rsidR="0001631C" w:rsidRPr="00DB5C6B" w:rsidRDefault="0001631C"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01631C" w:rsidRPr="00601AE1" w:rsidRDefault="0001631C" w:rsidP="00DB5C6B">
            <w:pPr>
              <w:widowControl w:val="0"/>
              <w:numPr>
                <w:ilvl w:val="12"/>
                <w:numId w:val="0"/>
              </w:numPr>
              <w:jc w:val="center"/>
              <w:rPr>
                <w:b/>
                <w:sz w:val="16"/>
                <w:szCs w:val="16"/>
              </w:rPr>
            </w:pPr>
            <w:r>
              <w:rPr>
                <w:b/>
                <w:sz w:val="16"/>
                <w:szCs w:val="16"/>
              </w:rPr>
              <w:t>3079,4</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444,9</w:t>
            </w:r>
          </w:p>
        </w:tc>
        <w:tc>
          <w:tcPr>
            <w:tcW w:w="1153" w:type="dxa"/>
            <w:vAlign w:val="center"/>
          </w:tcPr>
          <w:p w:rsidR="0001631C" w:rsidRPr="0001631C" w:rsidRDefault="0001631C" w:rsidP="0001631C">
            <w:pPr>
              <w:jc w:val="center"/>
              <w:rPr>
                <w:b/>
                <w:sz w:val="18"/>
                <w:szCs w:val="18"/>
              </w:rPr>
            </w:pPr>
            <w:r w:rsidRPr="0001631C">
              <w:rPr>
                <w:b/>
                <w:sz w:val="18"/>
                <w:szCs w:val="18"/>
              </w:rPr>
              <w:t>-2634,5</w:t>
            </w:r>
          </w:p>
        </w:tc>
        <w:tc>
          <w:tcPr>
            <w:tcW w:w="956" w:type="dxa"/>
            <w:vAlign w:val="center"/>
          </w:tcPr>
          <w:p w:rsidR="0001631C" w:rsidRPr="0001631C" w:rsidRDefault="0001631C" w:rsidP="0001631C">
            <w:pPr>
              <w:jc w:val="center"/>
              <w:rPr>
                <w:b/>
                <w:sz w:val="18"/>
                <w:szCs w:val="18"/>
              </w:rPr>
            </w:pPr>
            <w:r w:rsidRPr="0001631C">
              <w:rPr>
                <w:b/>
                <w:sz w:val="18"/>
                <w:szCs w:val="18"/>
              </w:rPr>
              <w:t>14,4</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463</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492,8</w:t>
            </w:r>
          </w:p>
        </w:tc>
      </w:tr>
      <w:tr w:rsidR="0001631C" w:rsidRPr="002A072A" w:rsidTr="0001631C">
        <w:tc>
          <w:tcPr>
            <w:tcW w:w="3391" w:type="dxa"/>
          </w:tcPr>
          <w:p w:rsidR="0001631C" w:rsidRPr="00883B52" w:rsidRDefault="0001631C" w:rsidP="00A536A0">
            <w:pPr>
              <w:widowControl w:val="0"/>
              <w:rPr>
                <w:sz w:val="16"/>
                <w:szCs w:val="16"/>
              </w:rPr>
            </w:pPr>
            <w:r w:rsidRPr="00883B52">
              <w:rPr>
                <w:sz w:val="16"/>
                <w:szCs w:val="16"/>
              </w:rPr>
              <w:t xml:space="preserve">Дорожное хозяйство (дорожные фонды) </w:t>
            </w:r>
            <w:r>
              <w:rPr>
                <w:sz w:val="16"/>
                <w:szCs w:val="16"/>
              </w:rPr>
              <w:t>(</w:t>
            </w:r>
            <w:r w:rsidRPr="00883B52">
              <w:rPr>
                <w:sz w:val="16"/>
                <w:szCs w:val="16"/>
              </w:rPr>
              <w:t>0409)</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2837,4</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444,9</w:t>
            </w:r>
          </w:p>
        </w:tc>
        <w:tc>
          <w:tcPr>
            <w:tcW w:w="1153" w:type="dxa"/>
            <w:vAlign w:val="center"/>
          </w:tcPr>
          <w:p w:rsidR="0001631C" w:rsidRPr="0001631C" w:rsidRDefault="0001631C" w:rsidP="0001631C">
            <w:pPr>
              <w:jc w:val="center"/>
              <w:rPr>
                <w:sz w:val="18"/>
                <w:szCs w:val="18"/>
              </w:rPr>
            </w:pPr>
            <w:r w:rsidRPr="0001631C">
              <w:rPr>
                <w:sz w:val="18"/>
                <w:szCs w:val="18"/>
              </w:rPr>
              <w:t>-2392,5</w:t>
            </w:r>
          </w:p>
        </w:tc>
        <w:tc>
          <w:tcPr>
            <w:tcW w:w="956" w:type="dxa"/>
            <w:vAlign w:val="center"/>
          </w:tcPr>
          <w:p w:rsidR="0001631C" w:rsidRPr="0001631C" w:rsidRDefault="0001631C" w:rsidP="0001631C">
            <w:pPr>
              <w:jc w:val="center"/>
              <w:rPr>
                <w:sz w:val="18"/>
                <w:szCs w:val="18"/>
              </w:rPr>
            </w:pPr>
            <w:r w:rsidRPr="0001631C">
              <w:rPr>
                <w:sz w:val="18"/>
                <w:szCs w:val="18"/>
              </w:rPr>
              <w:t>15,7</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463</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492,8</w:t>
            </w:r>
          </w:p>
        </w:tc>
      </w:tr>
      <w:tr w:rsidR="0001631C" w:rsidRPr="002A072A" w:rsidTr="0001631C">
        <w:tc>
          <w:tcPr>
            <w:tcW w:w="3391" w:type="dxa"/>
          </w:tcPr>
          <w:p w:rsidR="0001631C" w:rsidRPr="00883B52" w:rsidRDefault="0001631C" w:rsidP="00A536A0">
            <w:pPr>
              <w:widowControl w:val="0"/>
              <w:rPr>
                <w:sz w:val="16"/>
                <w:szCs w:val="16"/>
              </w:rPr>
            </w:pPr>
            <w:r w:rsidRPr="00D627A1">
              <w:rPr>
                <w:sz w:val="16"/>
                <w:szCs w:val="16"/>
              </w:rPr>
              <w:t>Другие вопросы в области национальной экономики</w:t>
            </w:r>
            <w:r>
              <w:rPr>
                <w:sz w:val="16"/>
                <w:szCs w:val="16"/>
              </w:rPr>
              <w:t xml:space="preserve"> (0412)</w:t>
            </w:r>
          </w:p>
        </w:tc>
        <w:tc>
          <w:tcPr>
            <w:tcW w:w="1123" w:type="dxa"/>
            <w:vAlign w:val="center"/>
          </w:tcPr>
          <w:p w:rsidR="0001631C" w:rsidRDefault="0001631C" w:rsidP="00DB5C6B">
            <w:pPr>
              <w:widowControl w:val="0"/>
              <w:numPr>
                <w:ilvl w:val="12"/>
                <w:numId w:val="0"/>
              </w:numPr>
              <w:jc w:val="center"/>
              <w:rPr>
                <w:sz w:val="16"/>
                <w:szCs w:val="16"/>
              </w:rPr>
            </w:pPr>
            <w:r>
              <w:rPr>
                <w:sz w:val="16"/>
                <w:szCs w:val="16"/>
              </w:rPr>
              <w:t>242</w:t>
            </w:r>
          </w:p>
        </w:tc>
        <w:tc>
          <w:tcPr>
            <w:tcW w:w="1153" w:type="dxa"/>
            <w:vAlign w:val="center"/>
          </w:tcPr>
          <w:p w:rsidR="0001631C" w:rsidRDefault="0001631C" w:rsidP="00DB5C6B">
            <w:pPr>
              <w:widowControl w:val="0"/>
              <w:numPr>
                <w:ilvl w:val="12"/>
                <w:numId w:val="0"/>
              </w:numPr>
              <w:jc w:val="center"/>
              <w:rPr>
                <w:sz w:val="16"/>
                <w:szCs w:val="16"/>
              </w:rPr>
            </w:pPr>
            <w:r>
              <w:rPr>
                <w:sz w:val="16"/>
                <w:szCs w:val="16"/>
              </w:rPr>
              <w:t>0,0</w:t>
            </w:r>
          </w:p>
        </w:tc>
        <w:tc>
          <w:tcPr>
            <w:tcW w:w="1153" w:type="dxa"/>
            <w:vAlign w:val="center"/>
          </w:tcPr>
          <w:p w:rsidR="0001631C" w:rsidRPr="0001631C" w:rsidRDefault="0001631C" w:rsidP="0001631C">
            <w:pPr>
              <w:jc w:val="center"/>
              <w:rPr>
                <w:sz w:val="18"/>
                <w:szCs w:val="18"/>
              </w:rPr>
            </w:pPr>
            <w:r w:rsidRPr="0001631C">
              <w:rPr>
                <w:sz w:val="18"/>
                <w:szCs w:val="18"/>
              </w:rPr>
              <w:t>-242</w:t>
            </w:r>
          </w:p>
        </w:tc>
        <w:tc>
          <w:tcPr>
            <w:tcW w:w="956" w:type="dxa"/>
            <w:vAlign w:val="center"/>
          </w:tcPr>
          <w:p w:rsidR="0001631C" w:rsidRPr="0001631C" w:rsidRDefault="0001631C" w:rsidP="0001631C">
            <w:pPr>
              <w:jc w:val="center"/>
              <w:rPr>
                <w:sz w:val="18"/>
                <w:szCs w:val="18"/>
              </w:rPr>
            </w:pPr>
            <w:r>
              <w:rPr>
                <w:sz w:val="18"/>
                <w:szCs w:val="18"/>
              </w:rPr>
              <w:t>-</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0,0</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0,0</w:t>
            </w:r>
          </w:p>
        </w:tc>
      </w:tr>
      <w:tr w:rsidR="0001631C" w:rsidRPr="002A072A" w:rsidTr="0001631C">
        <w:tc>
          <w:tcPr>
            <w:tcW w:w="3391" w:type="dxa"/>
          </w:tcPr>
          <w:p w:rsidR="0001631C" w:rsidRPr="00DB5C6B" w:rsidRDefault="0001631C"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01631C" w:rsidRPr="00601AE1" w:rsidRDefault="0001631C" w:rsidP="00DB5C6B">
            <w:pPr>
              <w:widowControl w:val="0"/>
              <w:numPr>
                <w:ilvl w:val="12"/>
                <w:numId w:val="0"/>
              </w:numPr>
              <w:jc w:val="center"/>
              <w:rPr>
                <w:b/>
                <w:sz w:val="16"/>
                <w:szCs w:val="16"/>
              </w:rPr>
            </w:pPr>
            <w:r>
              <w:rPr>
                <w:b/>
                <w:sz w:val="16"/>
                <w:szCs w:val="16"/>
              </w:rPr>
              <w:t>457,9</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57,7</w:t>
            </w:r>
          </w:p>
        </w:tc>
        <w:tc>
          <w:tcPr>
            <w:tcW w:w="1153" w:type="dxa"/>
            <w:vAlign w:val="center"/>
          </w:tcPr>
          <w:p w:rsidR="0001631C" w:rsidRPr="0001631C" w:rsidRDefault="0001631C" w:rsidP="0001631C">
            <w:pPr>
              <w:jc w:val="center"/>
              <w:rPr>
                <w:b/>
                <w:sz w:val="18"/>
                <w:szCs w:val="18"/>
              </w:rPr>
            </w:pPr>
            <w:r w:rsidRPr="0001631C">
              <w:rPr>
                <w:b/>
                <w:sz w:val="18"/>
                <w:szCs w:val="18"/>
              </w:rPr>
              <w:t>-400,2</w:t>
            </w:r>
          </w:p>
        </w:tc>
        <w:tc>
          <w:tcPr>
            <w:tcW w:w="956" w:type="dxa"/>
            <w:vAlign w:val="center"/>
          </w:tcPr>
          <w:p w:rsidR="0001631C" w:rsidRPr="0001631C" w:rsidRDefault="0001631C" w:rsidP="0001631C">
            <w:pPr>
              <w:jc w:val="center"/>
              <w:rPr>
                <w:b/>
                <w:sz w:val="18"/>
                <w:szCs w:val="18"/>
              </w:rPr>
            </w:pPr>
            <w:r w:rsidRPr="0001631C">
              <w:rPr>
                <w:b/>
                <w:sz w:val="18"/>
                <w:szCs w:val="18"/>
              </w:rPr>
              <w:t>12,6</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0,0</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45</w:t>
            </w:r>
          </w:p>
        </w:tc>
      </w:tr>
      <w:tr w:rsidR="0001631C" w:rsidRPr="002A072A" w:rsidTr="0001631C">
        <w:tc>
          <w:tcPr>
            <w:tcW w:w="3391" w:type="dxa"/>
          </w:tcPr>
          <w:p w:rsidR="0001631C" w:rsidRPr="00883B52" w:rsidRDefault="0001631C"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457,9</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57,7</w:t>
            </w:r>
          </w:p>
        </w:tc>
        <w:tc>
          <w:tcPr>
            <w:tcW w:w="1153" w:type="dxa"/>
            <w:vAlign w:val="center"/>
          </w:tcPr>
          <w:p w:rsidR="0001631C" w:rsidRPr="0001631C" w:rsidRDefault="0001631C" w:rsidP="0001631C">
            <w:pPr>
              <w:jc w:val="center"/>
              <w:rPr>
                <w:sz w:val="18"/>
                <w:szCs w:val="18"/>
              </w:rPr>
            </w:pPr>
            <w:r w:rsidRPr="0001631C">
              <w:rPr>
                <w:sz w:val="18"/>
                <w:szCs w:val="18"/>
              </w:rPr>
              <w:t>-400,2</w:t>
            </w:r>
          </w:p>
        </w:tc>
        <w:tc>
          <w:tcPr>
            <w:tcW w:w="956" w:type="dxa"/>
            <w:vAlign w:val="center"/>
          </w:tcPr>
          <w:p w:rsidR="0001631C" w:rsidRPr="0001631C" w:rsidRDefault="0001631C" w:rsidP="0001631C">
            <w:pPr>
              <w:jc w:val="center"/>
              <w:rPr>
                <w:sz w:val="18"/>
                <w:szCs w:val="18"/>
              </w:rPr>
            </w:pPr>
            <w:r w:rsidRPr="0001631C">
              <w:rPr>
                <w:sz w:val="18"/>
                <w:szCs w:val="18"/>
              </w:rPr>
              <w:t>12,6</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0,0</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45</w:t>
            </w:r>
          </w:p>
        </w:tc>
      </w:tr>
      <w:tr w:rsidR="0001631C" w:rsidRPr="002A072A" w:rsidTr="0001631C">
        <w:tc>
          <w:tcPr>
            <w:tcW w:w="3391" w:type="dxa"/>
          </w:tcPr>
          <w:p w:rsidR="0001631C" w:rsidRPr="008C792C" w:rsidRDefault="0001631C" w:rsidP="006D30B0">
            <w:pPr>
              <w:widowControl w:val="0"/>
              <w:numPr>
                <w:ilvl w:val="12"/>
                <w:numId w:val="0"/>
              </w:numPr>
              <w:jc w:val="both"/>
              <w:rPr>
                <w:b/>
                <w:sz w:val="16"/>
                <w:szCs w:val="16"/>
              </w:rPr>
            </w:pPr>
            <w:r w:rsidRPr="008C792C">
              <w:rPr>
                <w:b/>
                <w:sz w:val="16"/>
                <w:szCs w:val="16"/>
              </w:rPr>
              <w:t xml:space="preserve">Образование </w:t>
            </w:r>
          </w:p>
        </w:tc>
        <w:tc>
          <w:tcPr>
            <w:tcW w:w="1123" w:type="dxa"/>
            <w:vAlign w:val="center"/>
          </w:tcPr>
          <w:p w:rsidR="0001631C" w:rsidRPr="00601AE1" w:rsidRDefault="0001631C" w:rsidP="00DB5C6B">
            <w:pPr>
              <w:widowControl w:val="0"/>
              <w:numPr>
                <w:ilvl w:val="12"/>
                <w:numId w:val="0"/>
              </w:numPr>
              <w:jc w:val="center"/>
              <w:rPr>
                <w:b/>
                <w:sz w:val="16"/>
                <w:szCs w:val="16"/>
              </w:rPr>
            </w:pPr>
            <w:r>
              <w:rPr>
                <w:b/>
                <w:sz w:val="16"/>
                <w:szCs w:val="16"/>
              </w:rPr>
              <w:t>25</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0,0</w:t>
            </w:r>
          </w:p>
        </w:tc>
        <w:tc>
          <w:tcPr>
            <w:tcW w:w="1153" w:type="dxa"/>
            <w:vAlign w:val="center"/>
          </w:tcPr>
          <w:p w:rsidR="0001631C" w:rsidRPr="0001631C" w:rsidRDefault="0001631C" w:rsidP="0001631C">
            <w:pPr>
              <w:jc w:val="center"/>
              <w:rPr>
                <w:b/>
                <w:sz w:val="18"/>
                <w:szCs w:val="18"/>
              </w:rPr>
            </w:pPr>
            <w:r w:rsidRPr="0001631C">
              <w:rPr>
                <w:b/>
                <w:sz w:val="18"/>
                <w:szCs w:val="18"/>
              </w:rPr>
              <w:t>-25</w:t>
            </w:r>
          </w:p>
        </w:tc>
        <w:tc>
          <w:tcPr>
            <w:tcW w:w="956" w:type="dxa"/>
            <w:vAlign w:val="center"/>
          </w:tcPr>
          <w:p w:rsidR="0001631C" w:rsidRPr="0001631C" w:rsidRDefault="0001631C" w:rsidP="0001631C">
            <w:pPr>
              <w:jc w:val="center"/>
              <w:rPr>
                <w:b/>
                <w:sz w:val="18"/>
                <w:szCs w:val="18"/>
              </w:rPr>
            </w:pPr>
            <w:r w:rsidRPr="0001631C">
              <w:rPr>
                <w:b/>
                <w:sz w:val="18"/>
                <w:szCs w:val="18"/>
              </w:rPr>
              <w:t>-</w:t>
            </w:r>
          </w:p>
        </w:tc>
        <w:tc>
          <w:tcPr>
            <w:tcW w:w="1039" w:type="dxa"/>
            <w:vAlign w:val="center"/>
          </w:tcPr>
          <w:p w:rsidR="0001631C" w:rsidRPr="008C792C" w:rsidRDefault="0001631C" w:rsidP="00DB5C6B">
            <w:pPr>
              <w:widowControl w:val="0"/>
              <w:numPr>
                <w:ilvl w:val="12"/>
                <w:numId w:val="0"/>
              </w:numPr>
              <w:jc w:val="center"/>
              <w:rPr>
                <w:b/>
                <w:sz w:val="16"/>
                <w:szCs w:val="16"/>
              </w:rPr>
            </w:pPr>
            <w:r>
              <w:rPr>
                <w:b/>
                <w:sz w:val="16"/>
                <w:szCs w:val="16"/>
              </w:rPr>
              <w:t>0,0</w:t>
            </w:r>
          </w:p>
        </w:tc>
        <w:tc>
          <w:tcPr>
            <w:tcW w:w="1039" w:type="dxa"/>
            <w:vAlign w:val="center"/>
          </w:tcPr>
          <w:p w:rsidR="0001631C" w:rsidRPr="008C792C" w:rsidRDefault="0001631C" w:rsidP="00DB5C6B">
            <w:pPr>
              <w:widowControl w:val="0"/>
              <w:numPr>
                <w:ilvl w:val="12"/>
                <w:numId w:val="0"/>
              </w:numPr>
              <w:jc w:val="center"/>
              <w:rPr>
                <w:b/>
                <w:sz w:val="16"/>
                <w:szCs w:val="16"/>
              </w:rPr>
            </w:pPr>
            <w:r>
              <w:rPr>
                <w:b/>
                <w:sz w:val="16"/>
                <w:szCs w:val="16"/>
              </w:rPr>
              <w:t>0,0</w:t>
            </w:r>
          </w:p>
        </w:tc>
      </w:tr>
      <w:tr w:rsidR="0001631C" w:rsidRPr="002A072A" w:rsidTr="0001631C">
        <w:tc>
          <w:tcPr>
            <w:tcW w:w="3391" w:type="dxa"/>
          </w:tcPr>
          <w:p w:rsidR="0001631C" w:rsidRPr="00883B52" w:rsidRDefault="0001631C" w:rsidP="006D30B0">
            <w:pPr>
              <w:widowControl w:val="0"/>
              <w:numPr>
                <w:ilvl w:val="12"/>
                <w:numId w:val="0"/>
              </w:numPr>
              <w:jc w:val="both"/>
              <w:rPr>
                <w:sz w:val="16"/>
                <w:szCs w:val="16"/>
              </w:rPr>
            </w:pPr>
            <w:r>
              <w:rPr>
                <w:sz w:val="16"/>
                <w:szCs w:val="16"/>
              </w:rPr>
              <w:t>Профессиональная подготовка, переподготовка и повышение квалификации (0705)</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25</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0,0</w:t>
            </w:r>
          </w:p>
        </w:tc>
        <w:tc>
          <w:tcPr>
            <w:tcW w:w="1153" w:type="dxa"/>
            <w:vAlign w:val="center"/>
          </w:tcPr>
          <w:p w:rsidR="0001631C" w:rsidRPr="0001631C" w:rsidRDefault="0001631C" w:rsidP="0001631C">
            <w:pPr>
              <w:jc w:val="center"/>
              <w:rPr>
                <w:sz w:val="18"/>
                <w:szCs w:val="18"/>
              </w:rPr>
            </w:pPr>
            <w:r w:rsidRPr="0001631C">
              <w:rPr>
                <w:sz w:val="18"/>
                <w:szCs w:val="18"/>
              </w:rPr>
              <w:t>-25</w:t>
            </w:r>
          </w:p>
        </w:tc>
        <w:tc>
          <w:tcPr>
            <w:tcW w:w="956" w:type="dxa"/>
            <w:vAlign w:val="center"/>
          </w:tcPr>
          <w:p w:rsidR="0001631C" w:rsidRPr="0001631C" w:rsidRDefault="0001631C" w:rsidP="0001631C">
            <w:pPr>
              <w:jc w:val="center"/>
              <w:rPr>
                <w:sz w:val="18"/>
                <w:szCs w:val="18"/>
              </w:rPr>
            </w:pPr>
            <w:r>
              <w:rPr>
                <w:sz w:val="18"/>
                <w:szCs w:val="18"/>
              </w:rPr>
              <w:t>-</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0,0</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0,0</w:t>
            </w:r>
          </w:p>
        </w:tc>
      </w:tr>
      <w:tr w:rsidR="0001631C" w:rsidRPr="002A072A" w:rsidTr="0001631C">
        <w:tc>
          <w:tcPr>
            <w:tcW w:w="3391" w:type="dxa"/>
          </w:tcPr>
          <w:p w:rsidR="0001631C" w:rsidRPr="00DB5C6B" w:rsidRDefault="0001631C"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01631C" w:rsidRPr="00601AE1" w:rsidRDefault="0001631C" w:rsidP="00DB5C6B">
            <w:pPr>
              <w:widowControl w:val="0"/>
              <w:numPr>
                <w:ilvl w:val="12"/>
                <w:numId w:val="0"/>
              </w:numPr>
              <w:jc w:val="center"/>
              <w:rPr>
                <w:b/>
                <w:sz w:val="16"/>
                <w:szCs w:val="16"/>
              </w:rPr>
            </w:pPr>
            <w:r>
              <w:rPr>
                <w:b/>
                <w:sz w:val="16"/>
                <w:szCs w:val="16"/>
              </w:rPr>
              <w:t>4026,3</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3494,3</w:t>
            </w:r>
          </w:p>
        </w:tc>
        <w:tc>
          <w:tcPr>
            <w:tcW w:w="1153" w:type="dxa"/>
            <w:vAlign w:val="center"/>
          </w:tcPr>
          <w:p w:rsidR="0001631C" w:rsidRPr="0001631C" w:rsidRDefault="0001631C" w:rsidP="0001631C">
            <w:pPr>
              <w:jc w:val="center"/>
              <w:rPr>
                <w:b/>
                <w:sz w:val="18"/>
                <w:szCs w:val="18"/>
              </w:rPr>
            </w:pPr>
            <w:r w:rsidRPr="0001631C">
              <w:rPr>
                <w:b/>
                <w:sz w:val="18"/>
                <w:szCs w:val="18"/>
              </w:rPr>
              <w:t>-532</w:t>
            </w:r>
          </w:p>
        </w:tc>
        <w:tc>
          <w:tcPr>
            <w:tcW w:w="956" w:type="dxa"/>
            <w:vAlign w:val="center"/>
          </w:tcPr>
          <w:p w:rsidR="0001631C" w:rsidRPr="0001631C" w:rsidRDefault="0001631C" w:rsidP="0001631C">
            <w:pPr>
              <w:jc w:val="center"/>
              <w:rPr>
                <w:b/>
                <w:sz w:val="18"/>
                <w:szCs w:val="18"/>
              </w:rPr>
            </w:pPr>
            <w:r w:rsidRPr="0001631C">
              <w:rPr>
                <w:b/>
                <w:sz w:val="18"/>
                <w:szCs w:val="18"/>
              </w:rPr>
              <w:t>86,8</w:t>
            </w:r>
          </w:p>
        </w:tc>
        <w:tc>
          <w:tcPr>
            <w:tcW w:w="1039" w:type="dxa"/>
            <w:vAlign w:val="center"/>
          </w:tcPr>
          <w:p w:rsidR="0001631C" w:rsidRPr="008C792C" w:rsidRDefault="0001631C" w:rsidP="00BC5359">
            <w:pPr>
              <w:widowControl w:val="0"/>
              <w:numPr>
                <w:ilvl w:val="12"/>
                <w:numId w:val="0"/>
              </w:numPr>
              <w:jc w:val="center"/>
              <w:rPr>
                <w:b/>
                <w:sz w:val="16"/>
                <w:szCs w:val="16"/>
              </w:rPr>
            </w:pPr>
            <w:r>
              <w:rPr>
                <w:b/>
                <w:sz w:val="16"/>
                <w:szCs w:val="16"/>
              </w:rPr>
              <w:t>2934,6</w:t>
            </w:r>
          </w:p>
        </w:tc>
        <w:tc>
          <w:tcPr>
            <w:tcW w:w="1039" w:type="dxa"/>
            <w:vAlign w:val="center"/>
          </w:tcPr>
          <w:p w:rsidR="0001631C" w:rsidRPr="008C792C" w:rsidRDefault="0001631C" w:rsidP="00BC5359">
            <w:pPr>
              <w:widowControl w:val="0"/>
              <w:numPr>
                <w:ilvl w:val="12"/>
                <w:numId w:val="0"/>
              </w:numPr>
              <w:jc w:val="center"/>
              <w:rPr>
                <w:b/>
                <w:sz w:val="16"/>
                <w:szCs w:val="16"/>
              </w:rPr>
            </w:pPr>
            <w:r>
              <w:rPr>
                <w:b/>
                <w:sz w:val="16"/>
                <w:szCs w:val="16"/>
              </w:rPr>
              <w:t>2526,6</w:t>
            </w:r>
          </w:p>
        </w:tc>
      </w:tr>
      <w:tr w:rsidR="0001631C" w:rsidRPr="002A072A" w:rsidTr="0001631C">
        <w:tc>
          <w:tcPr>
            <w:tcW w:w="3391" w:type="dxa"/>
          </w:tcPr>
          <w:p w:rsidR="0001631C" w:rsidRPr="00DB5C6B" w:rsidRDefault="0001631C"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4026,3</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3494,3</w:t>
            </w:r>
          </w:p>
        </w:tc>
        <w:tc>
          <w:tcPr>
            <w:tcW w:w="1153" w:type="dxa"/>
            <w:vAlign w:val="center"/>
          </w:tcPr>
          <w:p w:rsidR="0001631C" w:rsidRPr="0001631C" w:rsidRDefault="0001631C" w:rsidP="0001631C">
            <w:pPr>
              <w:jc w:val="center"/>
              <w:rPr>
                <w:sz w:val="18"/>
                <w:szCs w:val="18"/>
              </w:rPr>
            </w:pPr>
            <w:r w:rsidRPr="0001631C">
              <w:rPr>
                <w:sz w:val="18"/>
                <w:szCs w:val="18"/>
              </w:rPr>
              <w:t>-532</w:t>
            </w:r>
          </w:p>
        </w:tc>
        <w:tc>
          <w:tcPr>
            <w:tcW w:w="956" w:type="dxa"/>
            <w:vAlign w:val="center"/>
          </w:tcPr>
          <w:p w:rsidR="0001631C" w:rsidRPr="0001631C" w:rsidRDefault="0001631C" w:rsidP="0001631C">
            <w:pPr>
              <w:jc w:val="center"/>
              <w:rPr>
                <w:sz w:val="18"/>
                <w:szCs w:val="18"/>
              </w:rPr>
            </w:pPr>
            <w:r w:rsidRPr="0001631C">
              <w:rPr>
                <w:sz w:val="18"/>
                <w:szCs w:val="18"/>
              </w:rPr>
              <w:t>86,8</w:t>
            </w:r>
          </w:p>
        </w:tc>
        <w:tc>
          <w:tcPr>
            <w:tcW w:w="1039" w:type="dxa"/>
            <w:vAlign w:val="center"/>
          </w:tcPr>
          <w:p w:rsidR="0001631C" w:rsidRPr="00883B52" w:rsidRDefault="0001631C" w:rsidP="00BC5359">
            <w:pPr>
              <w:widowControl w:val="0"/>
              <w:numPr>
                <w:ilvl w:val="12"/>
                <w:numId w:val="0"/>
              </w:numPr>
              <w:jc w:val="center"/>
              <w:rPr>
                <w:sz w:val="16"/>
                <w:szCs w:val="16"/>
              </w:rPr>
            </w:pPr>
            <w:r>
              <w:rPr>
                <w:sz w:val="16"/>
                <w:szCs w:val="16"/>
              </w:rPr>
              <w:t>2934,6</w:t>
            </w:r>
          </w:p>
        </w:tc>
        <w:tc>
          <w:tcPr>
            <w:tcW w:w="1039" w:type="dxa"/>
            <w:vAlign w:val="center"/>
          </w:tcPr>
          <w:p w:rsidR="0001631C" w:rsidRDefault="0001631C" w:rsidP="00BC5359">
            <w:pPr>
              <w:widowControl w:val="0"/>
              <w:numPr>
                <w:ilvl w:val="12"/>
                <w:numId w:val="0"/>
              </w:numPr>
              <w:jc w:val="center"/>
              <w:rPr>
                <w:sz w:val="16"/>
                <w:szCs w:val="16"/>
              </w:rPr>
            </w:pPr>
            <w:r>
              <w:rPr>
                <w:sz w:val="16"/>
                <w:szCs w:val="16"/>
              </w:rPr>
              <w:t>2526,6</w:t>
            </w:r>
          </w:p>
        </w:tc>
      </w:tr>
      <w:tr w:rsidR="0001631C" w:rsidRPr="002A072A" w:rsidTr="0001631C">
        <w:tc>
          <w:tcPr>
            <w:tcW w:w="3391" w:type="dxa"/>
          </w:tcPr>
          <w:p w:rsidR="0001631C" w:rsidRPr="00FA7CAE" w:rsidRDefault="0001631C" w:rsidP="006D30B0">
            <w:pPr>
              <w:autoSpaceDE w:val="0"/>
              <w:autoSpaceDN w:val="0"/>
              <w:adjustRightInd w:val="0"/>
              <w:rPr>
                <w:b/>
                <w:sz w:val="16"/>
                <w:szCs w:val="16"/>
              </w:rPr>
            </w:pPr>
            <w:r w:rsidRPr="00FA7CAE">
              <w:rPr>
                <w:b/>
                <w:sz w:val="16"/>
                <w:szCs w:val="16"/>
              </w:rPr>
              <w:t>Социальная политика</w:t>
            </w:r>
          </w:p>
        </w:tc>
        <w:tc>
          <w:tcPr>
            <w:tcW w:w="1123" w:type="dxa"/>
            <w:vAlign w:val="center"/>
          </w:tcPr>
          <w:p w:rsidR="0001631C" w:rsidRPr="00601AE1" w:rsidRDefault="0001631C" w:rsidP="006D30B0">
            <w:pPr>
              <w:widowControl w:val="0"/>
              <w:numPr>
                <w:ilvl w:val="12"/>
                <w:numId w:val="0"/>
              </w:numPr>
              <w:jc w:val="center"/>
              <w:rPr>
                <w:b/>
                <w:sz w:val="16"/>
                <w:szCs w:val="16"/>
              </w:rPr>
            </w:pPr>
            <w:r>
              <w:rPr>
                <w:b/>
                <w:sz w:val="16"/>
                <w:szCs w:val="16"/>
              </w:rPr>
              <w:t>140</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120</w:t>
            </w:r>
          </w:p>
        </w:tc>
        <w:tc>
          <w:tcPr>
            <w:tcW w:w="1153" w:type="dxa"/>
            <w:vAlign w:val="center"/>
          </w:tcPr>
          <w:p w:rsidR="0001631C" w:rsidRPr="0001631C" w:rsidRDefault="0001631C" w:rsidP="0001631C">
            <w:pPr>
              <w:jc w:val="center"/>
              <w:rPr>
                <w:b/>
                <w:sz w:val="18"/>
                <w:szCs w:val="18"/>
              </w:rPr>
            </w:pPr>
            <w:r w:rsidRPr="0001631C">
              <w:rPr>
                <w:b/>
                <w:sz w:val="18"/>
                <w:szCs w:val="18"/>
              </w:rPr>
              <w:t>-20</w:t>
            </w:r>
          </w:p>
        </w:tc>
        <w:tc>
          <w:tcPr>
            <w:tcW w:w="956" w:type="dxa"/>
            <w:vAlign w:val="center"/>
          </w:tcPr>
          <w:p w:rsidR="0001631C" w:rsidRPr="0001631C" w:rsidRDefault="0001631C" w:rsidP="0001631C">
            <w:pPr>
              <w:jc w:val="center"/>
              <w:rPr>
                <w:b/>
                <w:sz w:val="18"/>
                <w:szCs w:val="18"/>
              </w:rPr>
            </w:pPr>
            <w:r w:rsidRPr="0001631C">
              <w:rPr>
                <w:b/>
                <w:sz w:val="18"/>
                <w:szCs w:val="18"/>
              </w:rPr>
              <w:t>85,7</w:t>
            </w:r>
          </w:p>
        </w:tc>
        <w:tc>
          <w:tcPr>
            <w:tcW w:w="1039" w:type="dxa"/>
            <w:vAlign w:val="center"/>
          </w:tcPr>
          <w:p w:rsidR="0001631C" w:rsidRPr="00FA7CAE" w:rsidRDefault="0001631C" w:rsidP="00DB5C6B">
            <w:pPr>
              <w:widowControl w:val="0"/>
              <w:numPr>
                <w:ilvl w:val="12"/>
                <w:numId w:val="0"/>
              </w:numPr>
              <w:jc w:val="center"/>
              <w:rPr>
                <w:b/>
                <w:sz w:val="16"/>
                <w:szCs w:val="16"/>
              </w:rPr>
            </w:pPr>
            <w:r>
              <w:rPr>
                <w:b/>
                <w:sz w:val="16"/>
                <w:szCs w:val="16"/>
              </w:rPr>
              <w:t>110</w:t>
            </w:r>
          </w:p>
        </w:tc>
        <w:tc>
          <w:tcPr>
            <w:tcW w:w="1039" w:type="dxa"/>
            <w:vAlign w:val="center"/>
          </w:tcPr>
          <w:p w:rsidR="0001631C" w:rsidRPr="00FA7CAE" w:rsidRDefault="0001631C" w:rsidP="00DB5C6B">
            <w:pPr>
              <w:widowControl w:val="0"/>
              <w:numPr>
                <w:ilvl w:val="12"/>
                <w:numId w:val="0"/>
              </w:numPr>
              <w:jc w:val="center"/>
              <w:rPr>
                <w:b/>
                <w:sz w:val="16"/>
                <w:szCs w:val="16"/>
              </w:rPr>
            </w:pPr>
            <w:r>
              <w:rPr>
                <w:b/>
                <w:sz w:val="16"/>
                <w:szCs w:val="16"/>
              </w:rPr>
              <w:t>104</w:t>
            </w:r>
          </w:p>
        </w:tc>
      </w:tr>
      <w:tr w:rsidR="0001631C" w:rsidRPr="002A072A" w:rsidTr="0001631C">
        <w:tc>
          <w:tcPr>
            <w:tcW w:w="3391" w:type="dxa"/>
          </w:tcPr>
          <w:p w:rsidR="0001631C" w:rsidRDefault="0001631C" w:rsidP="006D30B0">
            <w:pPr>
              <w:autoSpaceDE w:val="0"/>
              <w:autoSpaceDN w:val="0"/>
              <w:adjustRightInd w:val="0"/>
              <w:rPr>
                <w:sz w:val="16"/>
                <w:szCs w:val="16"/>
              </w:rPr>
            </w:pPr>
            <w:r>
              <w:rPr>
                <w:sz w:val="16"/>
                <w:szCs w:val="16"/>
              </w:rPr>
              <w:t>Пенсионное обеспечение (1001)</w:t>
            </w:r>
          </w:p>
        </w:tc>
        <w:tc>
          <w:tcPr>
            <w:tcW w:w="1123" w:type="dxa"/>
            <w:vAlign w:val="center"/>
          </w:tcPr>
          <w:p w:rsidR="0001631C" w:rsidRPr="00601AE1" w:rsidRDefault="0001631C" w:rsidP="006D30B0">
            <w:pPr>
              <w:widowControl w:val="0"/>
              <w:numPr>
                <w:ilvl w:val="12"/>
                <w:numId w:val="0"/>
              </w:numPr>
              <w:jc w:val="center"/>
              <w:rPr>
                <w:sz w:val="16"/>
                <w:szCs w:val="16"/>
              </w:rPr>
            </w:pPr>
            <w:r>
              <w:rPr>
                <w:sz w:val="16"/>
                <w:szCs w:val="16"/>
              </w:rPr>
              <w:t>140</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120</w:t>
            </w:r>
          </w:p>
        </w:tc>
        <w:tc>
          <w:tcPr>
            <w:tcW w:w="1153" w:type="dxa"/>
            <w:vAlign w:val="center"/>
          </w:tcPr>
          <w:p w:rsidR="0001631C" w:rsidRPr="0001631C" w:rsidRDefault="0001631C" w:rsidP="0001631C">
            <w:pPr>
              <w:jc w:val="center"/>
              <w:rPr>
                <w:sz w:val="18"/>
                <w:szCs w:val="18"/>
              </w:rPr>
            </w:pPr>
            <w:r w:rsidRPr="0001631C">
              <w:rPr>
                <w:sz w:val="18"/>
                <w:szCs w:val="18"/>
              </w:rPr>
              <w:t>-20</w:t>
            </w:r>
          </w:p>
        </w:tc>
        <w:tc>
          <w:tcPr>
            <w:tcW w:w="956" w:type="dxa"/>
            <w:vAlign w:val="center"/>
          </w:tcPr>
          <w:p w:rsidR="0001631C" w:rsidRPr="0001631C" w:rsidRDefault="0001631C" w:rsidP="0001631C">
            <w:pPr>
              <w:jc w:val="center"/>
              <w:rPr>
                <w:sz w:val="18"/>
                <w:szCs w:val="18"/>
              </w:rPr>
            </w:pPr>
            <w:r w:rsidRPr="0001631C">
              <w:rPr>
                <w:sz w:val="18"/>
                <w:szCs w:val="18"/>
              </w:rPr>
              <w:t>85,7</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110</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104</w:t>
            </w:r>
          </w:p>
        </w:tc>
      </w:tr>
      <w:tr w:rsidR="0001631C" w:rsidRPr="002A072A" w:rsidTr="0001631C">
        <w:tc>
          <w:tcPr>
            <w:tcW w:w="3391" w:type="dxa"/>
          </w:tcPr>
          <w:p w:rsidR="0001631C" w:rsidRPr="00BC5359" w:rsidRDefault="0001631C" w:rsidP="00C5394C">
            <w:pPr>
              <w:autoSpaceDE w:val="0"/>
              <w:autoSpaceDN w:val="0"/>
              <w:adjustRightInd w:val="0"/>
              <w:rPr>
                <w:b/>
                <w:sz w:val="16"/>
                <w:szCs w:val="16"/>
              </w:rPr>
            </w:pPr>
            <w:r w:rsidRPr="00BC5359">
              <w:rPr>
                <w:b/>
                <w:sz w:val="16"/>
                <w:szCs w:val="16"/>
              </w:rPr>
              <w:t xml:space="preserve">Обслуживание государственного </w:t>
            </w:r>
            <w:r>
              <w:rPr>
                <w:b/>
                <w:sz w:val="16"/>
                <w:szCs w:val="16"/>
              </w:rPr>
              <w:t>(</w:t>
            </w:r>
            <w:r w:rsidRPr="00BC5359">
              <w:rPr>
                <w:b/>
                <w:sz w:val="16"/>
                <w:szCs w:val="16"/>
              </w:rPr>
              <w:t>муниципального</w:t>
            </w:r>
            <w:r>
              <w:rPr>
                <w:b/>
                <w:sz w:val="16"/>
                <w:szCs w:val="16"/>
              </w:rPr>
              <w:t>)</w:t>
            </w:r>
            <w:r w:rsidRPr="00BC5359">
              <w:rPr>
                <w:b/>
                <w:sz w:val="16"/>
                <w:szCs w:val="16"/>
              </w:rPr>
              <w:t xml:space="preserve"> долга</w:t>
            </w:r>
            <w:r>
              <w:rPr>
                <w:b/>
                <w:sz w:val="16"/>
                <w:szCs w:val="16"/>
              </w:rPr>
              <w:t xml:space="preserve"> </w:t>
            </w:r>
          </w:p>
        </w:tc>
        <w:tc>
          <w:tcPr>
            <w:tcW w:w="1123" w:type="dxa"/>
            <w:vAlign w:val="center"/>
          </w:tcPr>
          <w:p w:rsidR="0001631C" w:rsidRPr="00BC5359" w:rsidRDefault="0001631C" w:rsidP="006D30B0">
            <w:pPr>
              <w:widowControl w:val="0"/>
              <w:numPr>
                <w:ilvl w:val="12"/>
                <w:numId w:val="0"/>
              </w:numPr>
              <w:jc w:val="center"/>
              <w:rPr>
                <w:b/>
                <w:sz w:val="16"/>
                <w:szCs w:val="16"/>
              </w:rPr>
            </w:pPr>
            <w:r>
              <w:rPr>
                <w:b/>
                <w:sz w:val="16"/>
                <w:szCs w:val="16"/>
              </w:rPr>
              <w:t>0,0</w:t>
            </w:r>
          </w:p>
        </w:tc>
        <w:tc>
          <w:tcPr>
            <w:tcW w:w="1153" w:type="dxa"/>
            <w:vAlign w:val="center"/>
          </w:tcPr>
          <w:p w:rsidR="0001631C" w:rsidRPr="00BC5359" w:rsidRDefault="0001631C" w:rsidP="00DB5C6B">
            <w:pPr>
              <w:widowControl w:val="0"/>
              <w:numPr>
                <w:ilvl w:val="12"/>
                <w:numId w:val="0"/>
              </w:numPr>
              <w:jc w:val="center"/>
              <w:rPr>
                <w:b/>
                <w:sz w:val="16"/>
                <w:szCs w:val="16"/>
              </w:rPr>
            </w:pPr>
            <w:r>
              <w:rPr>
                <w:b/>
                <w:sz w:val="16"/>
                <w:szCs w:val="16"/>
              </w:rPr>
              <w:t>0,1</w:t>
            </w:r>
          </w:p>
        </w:tc>
        <w:tc>
          <w:tcPr>
            <w:tcW w:w="1153" w:type="dxa"/>
            <w:vAlign w:val="center"/>
          </w:tcPr>
          <w:p w:rsidR="0001631C" w:rsidRPr="0001631C" w:rsidRDefault="0001631C" w:rsidP="0001631C">
            <w:pPr>
              <w:jc w:val="center"/>
              <w:rPr>
                <w:b/>
                <w:sz w:val="18"/>
                <w:szCs w:val="18"/>
              </w:rPr>
            </w:pPr>
            <w:r w:rsidRPr="0001631C">
              <w:rPr>
                <w:b/>
                <w:sz w:val="18"/>
                <w:szCs w:val="18"/>
              </w:rPr>
              <w:t>0,1</w:t>
            </w:r>
          </w:p>
        </w:tc>
        <w:tc>
          <w:tcPr>
            <w:tcW w:w="956" w:type="dxa"/>
            <w:vAlign w:val="center"/>
          </w:tcPr>
          <w:p w:rsidR="0001631C" w:rsidRPr="0001631C" w:rsidRDefault="0001631C" w:rsidP="0001631C">
            <w:pPr>
              <w:jc w:val="center"/>
              <w:rPr>
                <w:b/>
                <w:sz w:val="18"/>
                <w:szCs w:val="18"/>
              </w:rPr>
            </w:pPr>
            <w:r w:rsidRPr="0001631C">
              <w:rPr>
                <w:b/>
                <w:sz w:val="18"/>
                <w:szCs w:val="18"/>
              </w:rPr>
              <w:t>-</w:t>
            </w:r>
          </w:p>
        </w:tc>
        <w:tc>
          <w:tcPr>
            <w:tcW w:w="1039" w:type="dxa"/>
            <w:vAlign w:val="center"/>
          </w:tcPr>
          <w:p w:rsidR="0001631C" w:rsidRPr="00BC5359" w:rsidRDefault="0001631C" w:rsidP="00DB5C6B">
            <w:pPr>
              <w:widowControl w:val="0"/>
              <w:numPr>
                <w:ilvl w:val="12"/>
                <w:numId w:val="0"/>
              </w:numPr>
              <w:jc w:val="center"/>
              <w:rPr>
                <w:b/>
                <w:sz w:val="16"/>
                <w:szCs w:val="16"/>
              </w:rPr>
            </w:pPr>
            <w:r>
              <w:rPr>
                <w:b/>
                <w:sz w:val="16"/>
                <w:szCs w:val="16"/>
              </w:rPr>
              <w:t>0,1</w:t>
            </w:r>
          </w:p>
        </w:tc>
        <w:tc>
          <w:tcPr>
            <w:tcW w:w="1039" w:type="dxa"/>
            <w:vAlign w:val="center"/>
          </w:tcPr>
          <w:p w:rsidR="0001631C" w:rsidRPr="00BC5359" w:rsidRDefault="0001631C" w:rsidP="00DB5C6B">
            <w:pPr>
              <w:widowControl w:val="0"/>
              <w:numPr>
                <w:ilvl w:val="12"/>
                <w:numId w:val="0"/>
              </w:numPr>
              <w:jc w:val="center"/>
              <w:rPr>
                <w:b/>
                <w:sz w:val="16"/>
                <w:szCs w:val="16"/>
              </w:rPr>
            </w:pPr>
            <w:r>
              <w:rPr>
                <w:b/>
                <w:sz w:val="16"/>
                <w:szCs w:val="16"/>
              </w:rPr>
              <w:t>0,1</w:t>
            </w:r>
          </w:p>
        </w:tc>
      </w:tr>
      <w:tr w:rsidR="0001631C" w:rsidRPr="002A072A" w:rsidTr="0001631C">
        <w:tc>
          <w:tcPr>
            <w:tcW w:w="3391" w:type="dxa"/>
          </w:tcPr>
          <w:p w:rsidR="0001631C" w:rsidRPr="00C5394C" w:rsidRDefault="0001631C" w:rsidP="00C5394C">
            <w:pPr>
              <w:pStyle w:val="af2"/>
              <w:rPr>
                <w:rFonts w:ascii="Times New Roman" w:hAnsi="Times New Roman" w:cs="Times New Roman"/>
                <w:sz w:val="16"/>
                <w:szCs w:val="16"/>
              </w:rPr>
            </w:pPr>
            <w:r w:rsidRPr="00C5394C">
              <w:rPr>
                <w:rFonts w:ascii="Times New Roman" w:hAnsi="Times New Roman" w:cs="Times New Roman"/>
                <w:sz w:val="16"/>
                <w:szCs w:val="16"/>
              </w:rPr>
              <w:t>Обслуживание государственного (муниципального) внутреннего долга</w:t>
            </w:r>
            <w:r>
              <w:rPr>
                <w:rFonts w:ascii="Times New Roman" w:hAnsi="Times New Roman" w:cs="Times New Roman"/>
                <w:sz w:val="16"/>
                <w:szCs w:val="16"/>
              </w:rPr>
              <w:t xml:space="preserve"> </w:t>
            </w:r>
            <w:r w:rsidRPr="00C5394C">
              <w:rPr>
                <w:rFonts w:ascii="Times New Roman" w:hAnsi="Times New Roman" w:cs="Times New Roman"/>
                <w:sz w:val="16"/>
                <w:szCs w:val="16"/>
              </w:rPr>
              <w:t>(1301)</w:t>
            </w:r>
          </w:p>
        </w:tc>
        <w:tc>
          <w:tcPr>
            <w:tcW w:w="1123" w:type="dxa"/>
            <w:vAlign w:val="center"/>
          </w:tcPr>
          <w:p w:rsidR="0001631C" w:rsidRPr="007622F7" w:rsidRDefault="0001631C" w:rsidP="006D30B0">
            <w:pPr>
              <w:widowControl w:val="0"/>
              <w:numPr>
                <w:ilvl w:val="12"/>
                <w:numId w:val="0"/>
              </w:numPr>
              <w:jc w:val="center"/>
              <w:rPr>
                <w:sz w:val="16"/>
                <w:szCs w:val="16"/>
              </w:rPr>
            </w:pPr>
            <w:r>
              <w:rPr>
                <w:sz w:val="16"/>
                <w:szCs w:val="16"/>
              </w:rPr>
              <w:t>0,0</w:t>
            </w:r>
          </w:p>
        </w:tc>
        <w:tc>
          <w:tcPr>
            <w:tcW w:w="1153" w:type="dxa"/>
            <w:vAlign w:val="center"/>
          </w:tcPr>
          <w:p w:rsidR="0001631C" w:rsidRPr="007622F7" w:rsidRDefault="0001631C" w:rsidP="00DB5C6B">
            <w:pPr>
              <w:widowControl w:val="0"/>
              <w:numPr>
                <w:ilvl w:val="12"/>
                <w:numId w:val="0"/>
              </w:numPr>
              <w:jc w:val="center"/>
              <w:rPr>
                <w:sz w:val="16"/>
                <w:szCs w:val="16"/>
              </w:rPr>
            </w:pPr>
            <w:r w:rsidRPr="007622F7">
              <w:rPr>
                <w:sz w:val="16"/>
                <w:szCs w:val="16"/>
              </w:rPr>
              <w:t>0,1</w:t>
            </w:r>
          </w:p>
        </w:tc>
        <w:tc>
          <w:tcPr>
            <w:tcW w:w="1153" w:type="dxa"/>
            <w:vAlign w:val="center"/>
          </w:tcPr>
          <w:p w:rsidR="0001631C" w:rsidRPr="0001631C" w:rsidRDefault="0001631C" w:rsidP="0001631C">
            <w:pPr>
              <w:jc w:val="center"/>
              <w:rPr>
                <w:sz w:val="18"/>
                <w:szCs w:val="18"/>
              </w:rPr>
            </w:pPr>
            <w:r w:rsidRPr="0001631C">
              <w:rPr>
                <w:sz w:val="18"/>
                <w:szCs w:val="18"/>
              </w:rPr>
              <w:t>0,1</w:t>
            </w:r>
          </w:p>
        </w:tc>
        <w:tc>
          <w:tcPr>
            <w:tcW w:w="956" w:type="dxa"/>
            <w:vAlign w:val="center"/>
          </w:tcPr>
          <w:p w:rsidR="0001631C" w:rsidRPr="0001631C" w:rsidRDefault="0001631C" w:rsidP="0001631C">
            <w:pPr>
              <w:jc w:val="center"/>
              <w:rPr>
                <w:sz w:val="18"/>
                <w:szCs w:val="18"/>
              </w:rPr>
            </w:pPr>
            <w:r>
              <w:rPr>
                <w:sz w:val="18"/>
                <w:szCs w:val="18"/>
              </w:rPr>
              <w:t>-</w:t>
            </w:r>
          </w:p>
        </w:tc>
        <w:tc>
          <w:tcPr>
            <w:tcW w:w="1039" w:type="dxa"/>
            <w:vAlign w:val="center"/>
          </w:tcPr>
          <w:p w:rsidR="0001631C" w:rsidRPr="007622F7" w:rsidRDefault="0001631C" w:rsidP="00DB5C6B">
            <w:pPr>
              <w:widowControl w:val="0"/>
              <w:numPr>
                <w:ilvl w:val="12"/>
                <w:numId w:val="0"/>
              </w:numPr>
              <w:jc w:val="center"/>
              <w:rPr>
                <w:sz w:val="16"/>
                <w:szCs w:val="16"/>
              </w:rPr>
            </w:pPr>
            <w:r w:rsidRPr="007622F7">
              <w:rPr>
                <w:sz w:val="16"/>
                <w:szCs w:val="16"/>
              </w:rPr>
              <w:t>0,1</w:t>
            </w:r>
          </w:p>
        </w:tc>
        <w:tc>
          <w:tcPr>
            <w:tcW w:w="1039" w:type="dxa"/>
            <w:vAlign w:val="center"/>
          </w:tcPr>
          <w:p w:rsidR="0001631C" w:rsidRPr="007622F7" w:rsidRDefault="0001631C" w:rsidP="00DB5C6B">
            <w:pPr>
              <w:widowControl w:val="0"/>
              <w:numPr>
                <w:ilvl w:val="12"/>
                <w:numId w:val="0"/>
              </w:numPr>
              <w:jc w:val="center"/>
              <w:rPr>
                <w:sz w:val="16"/>
                <w:szCs w:val="16"/>
              </w:rPr>
            </w:pPr>
            <w:r w:rsidRPr="007622F7">
              <w:rPr>
                <w:sz w:val="16"/>
                <w:szCs w:val="16"/>
              </w:rPr>
              <w:t>0,1</w:t>
            </w:r>
          </w:p>
        </w:tc>
      </w:tr>
      <w:tr w:rsidR="0001631C" w:rsidRPr="002A072A" w:rsidTr="0001631C">
        <w:tc>
          <w:tcPr>
            <w:tcW w:w="3391" w:type="dxa"/>
          </w:tcPr>
          <w:p w:rsidR="0001631C" w:rsidRPr="00DB5C6B" w:rsidRDefault="0001631C"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01631C" w:rsidRPr="00601AE1" w:rsidRDefault="0001631C" w:rsidP="00DB5C6B">
            <w:pPr>
              <w:widowControl w:val="0"/>
              <w:numPr>
                <w:ilvl w:val="12"/>
                <w:numId w:val="0"/>
              </w:numPr>
              <w:jc w:val="center"/>
              <w:rPr>
                <w:b/>
                <w:sz w:val="16"/>
                <w:szCs w:val="16"/>
              </w:rPr>
            </w:pPr>
            <w:r>
              <w:rPr>
                <w:b/>
                <w:sz w:val="16"/>
                <w:szCs w:val="16"/>
              </w:rPr>
              <w:t>866</w:t>
            </w:r>
          </w:p>
        </w:tc>
        <w:tc>
          <w:tcPr>
            <w:tcW w:w="1153" w:type="dxa"/>
            <w:vAlign w:val="center"/>
          </w:tcPr>
          <w:p w:rsidR="0001631C" w:rsidRPr="00601AE1" w:rsidRDefault="0001631C" w:rsidP="00DB5C6B">
            <w:pPr>
              <w:widowControl w:val="0"/>
              <w:numPr>
                <w:ilvl w:val="12"/>
                <w:numId w:val="0"/>
              </w:numPr>
              <w:jc w:val="center"/>
              <w:rPr>
                <w:b/>
                <w:sz w:val="16"/>
                <w:szCs w:val="16"/>
              </w:rPr>
            </w:pPr>
            <w:r>
              <w:rPr>
                <w:b/>
                <w:sz w:val="16"/>
                <w:szCs w:val="16"/>
              </w:rPr>
              <w:t>945,2</w:t>
            </w:r>
          </w:p>
        </w:tc>
        <w:tc>
          <w:tcPr>
            <w:tcW w:w="1153" w:type="dxa"/>
            <w:vAlign w:val="center"/>
          </w:tcPr>
          <w:p w:rsidR="0001631C" w:rsidRPr="0001631C" w:rsidRDefault="0001631C" w:rsidP="0001631C">
            <w:pPr>
              <w:jc w:val="center"/>
              <w:rPr>
                <w:b/>
                <w:sz w:val="18"/>
                <w:szCs w:val="18"/>
              </w:rPr>
            </w:pPr>
            <w:r w:rsidRPr="0001631C">
              <w:rPr>
                <w:b/>
                <w:sz w:val="18"/>
                <w:szCs w:val="18"/>
              </w:rPr>
              <w:t>79,2</w:t>
            </w:r>
          </w:p>
        </w:tc>
        <w:tc>
          <w:tcPr>
            <w:tcW w:w="956" w:type="dxa"/>
            <w:vAlign w:val="center"/>
          </w:tcPr>
          <w:p w:rsidR="0001631C" w:rsidRPr="0001631C" w:rsidRDefault="0001631C" w:rsidP="0001631C">
            <w:pPr>
              <w:jc w:val="center"/>
              <w:rPr>
                <w:b/>
                <w:sz w:val="18"/>
                <w:szCs w:val="18"/>
              </w:rPr>
            </w:pPr>
            <w:r w:rsidRPr="0001631C">
              <w:rPr>
                <w:b/>
                <w:sz w:val="18"/>
                <w:szCs w:val="18"/>
              </w:rPr>
              <w:t>109,1</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961,9</w:t>
            </w:r>
          </w:p>
        </w:tc>
        <w:tc>
          <w:tcPr>
            <w:tcW w:w="1039" w:type="dxa"/>
            <w:vAlign w:val="center"/>
          </w:tcPr>
          <w:p w:rsidR="0001631C" w:rsidRPr="00DB5C6B" w:rsidRDefault="0001631C" w:rsidP="00DB5C6B">
            <w:pPr>
              <w:widowControl w:val="0"/>
              <w:numPr>
                <w:ilvl w:val="12"/>
                <w:numId w:val="0"/>
              </w:numPr>
              <w:jc w:val="center"/>
              <w:rPr>
                <w:b/>
                <w:sz w:val="16"/>
                <w:szCs w:val="16"/>
              </w:rPr>
            </w:pPr>
            <w:r>
              <w:rPr>
                <w:b/>
                <w:sz w:val="16"/>
                <w:szCs w:val="16"/>
              </w:rPr>
              <w:t>979,2</w:t>
            </w:r>
          </w:p>
        </w:tc>
      </w:tr>
      <w:tr w:rsidR="0001631C" w:rsidRPr="002A072A" w:rsidTr="0001631C">
        <w:tc>
          <w:tcPr>
            <w:tcW w:w="3391" w:type="dxa"/>
          </w:tcPr>
          <w:p w:rsidR="0001631C" w:rsidRPr="00DB5C6B" w:rsidRDefault="0001631C"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01631C" w:rsidRPr="00601AE1" w:rsidRDefault="0001631C" w:rsidP="00DB5C6B">
            <w:pPr>
              <w:widowControl w:val="0"/>
              <w:numPr>
                <w:ilvl w:val="12"/>
                <w:numId w:val="0"/>
              </w:numPr>
              <w:jc w:val="center"/>
              <w:rPr>
                <w:sz w:val="16"/>
                <w:szCs w:val="16"/>
              </w:rPr>
            </w:pPr>
            <w:r>
              <w:rPr>
                <w:sz w:val="16"/>
                <w:szCs w:val="16"/>
              </w:rPr>
              <w:t>866</w:t>
            </w:r>
          </w:p>
        </w:tc>
        <w:tc>
          <w:tcPr>
            <w:tcW w:w="1153" w:type="dxa"/>
            <w:vAlign w:val="center"/>
          </w:tcPr>
          <w:p w:rsidR="0001631C" w:rsidRPr="00601AE1" w:rsidRDefault="0001631C" w:rsidP="00DB5C6B">
            <w:pPr>
              <w:widowControl w:val="0"/>
              <w:numPr>
                <w:ilvl w:val="12"/>
                <w:numId w:val="0"/>
              </w:numPr>
              <w:jc w:val="center"/>
              <w:rPr>
                <w:sz w:val="16"/>
                <w:szCs w:val="16"/>
              </w:rPr>
            </w:pPr>
            <w:r>
              <w:rPr>
                <w:sz w:val="16"/>
                <w:szCs w:val="16"/>
              </w:rPr>
              <w:t>945,2</w:t>
            </w:r>
          </w:p>
        </w:tc>
        <w:tc>
          <w:tcPr>
            <w:tcW w:w="1153" w:type="dxa"/>
            <w:vAlign w:val="center"/>
          </w:tcPr>
          <w:p w:rsidR="0001631C" w:rsidRPr="0001631C" w:rsidRDefault="0001631C" w:rsidP="0001631C">
            <w:pPr>
              <w:jc w:val="center"/>
              <w:rPr>
                <w:sz w:val="18"/>
                <w:szCs w:val="18"/>
              </w:rPr>
            </w:pPr>
            <w:r w:rsidRPr="0001631C">
              <w:rPr>
                <w:sz w:val="18"/>
                <w:szCs w:val="18"/>
              </w:rPr>
              <w:t>79,2</w:t>
            </w:r>
          </w:p>
        </w:tc>
        <w:tc>
          <w:tcPr>
            <w:tcW w:w="956" w:type="dxa"/>
            <w:vAlign w:val="center"/>
          </w:tcPr>
          <w:p w:rsidR="0001631C" w:rsidRPr="0001631C" w:rsidRDefault="0001631C" w:rsidP="0001631C">
            <w:pPr>
              <w:jc w:val="center"/>
              <w:rPr>
                <w:sz w:val="18"/>
                <w:szCs w:val="18"/>
              </w:rPr>
            </w:pPr>
            <w:r w:rsidRPr="0001631C">
              <w:rPr>
                <w:sz w:val="18"/>
                <w:szCs w:val="18"/>
              </w:rPr>
              <w:t>109,1</w:t>
            </w:r>
          </w:p>
        </w:tc>
        <w:tc>
          <w:tcPr>
            <w:tcW w:w="1039" w:type="dxa"/>
            <w:vAlign w:val="center"/>
          </w:tcPr>
          <w:p w:rsidR="0001631C" w:rsidRPr="00883B52" w:rsidRDefault="0001631C" w:rsidP="00DB5C6B">
            <w:pPr>
              <w:widowControl w:val="0"/>
              <w:numPr>
                <w:ilvl w:val="12"/>
                <w:numId w:val="0"/>
              </w:numPr>
              <w:jc w:val="center"/>
              <w:rPr>
                <w:sz w:val="16"/>
                <w:szCs w:val="16"/>
              </w:rPr>
            </w:pPr>
            <w:r>
              <w:rPr>
                <w:sz w:val="16"/>
                <w:szCs w:val="16"/>
              </w:rPr>
              <w:t>961,9</w:t>
            </w:r>
          </w:p>
        </w:tc>
        <w:tc>
          <w:tcPr>
            <w:tcW w:w="1039" w:type="dxa"/>
            <w:vAlign w:val="center"/>
          </w:tcPr>
          <w:p w:rsidR="0001631C" w:rsidRDefault="0001631C" w:rsidP="00DB5C6B">
            <w:pPr>
              <w:widowControl w:val="0"/>
              <w:numPr>
                <w:ilvl w:val="12"/>
                <w:numId w:val="0"/>
              </w:numPr>
              <w:jc w:val="center"/>
              <w:rPr>
                <w:sz w:val="16"/>
                <w:szCs w:val="16"/>
              </w:rPr>
            </w:pPr>
            <w:r>
              <w:rPr>
                <w:sz w:val="16"/>
                <w:szCs w:val="16"/>
              </w:rPr>
              <w:t>979,2</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w:t>
      </w:r>
      <w:r w:rsidR="00423A44">
        <w:t>1</w:t>
      </w:r>
      <w:r>
        <w:t xml:space="preserve">г. </w:t>
      </w:r>
      <w:r w:rsidR="00A22562">
        <w:t>–</w:t>
      </w:r>
      <w:r>
        <w:t xml:space="preserve"> </w:t>
      </w:r>
      <w:r w:rsidR="006568F3">
        <w:t>4219,4</w:t>
      </w:r>
      <w:r w:rsidR="00A22562">
        <w:t xml:space="preserve"> тыс. рублей (или </w:t>
      </w:r>
      <w:r w:rsidR="006568F3">
        <w:t>44,8</w:t>
      </w:r>
      <w:r w:rsidRPr="006B68FA">
        <w:t>%</w:t>
      </w:r>
      <w:r w:rsidR="00A22562">
        <w:t>)</w:t>
      </w:r>
      <w:r w:rsidRPr="006B68FA">
        <w:t xml:space="preserve">, </w:t>
      </w:r>
      <w:r>
        <w:t>в 202</w:t>
      </w:r>
      <w:r w:rsidR="00423A44">
        <w:t>2</w:t>
      </w:r>
      <w:r>
        <w:t xml:space="preserve">г. </w:t>
      </w:r>
      <w:r w:rsidR="00A22562">
        <w:t>–</w:t>
      </w:r>
      <w:r>
        <w:t xml:space="preserve"> </w:t>
      </w:r>
      <w:r w:rsidR="006568F3">
        <w:t>4233,6</w:t>
      </w:r>
      <w:r w:rsidR="00A22562">
        <w:t xml:space="preserve"> тыс. рублей (или </w:t>
      </w:r>
      <w:r w:rsidR="006568F3">
        <w:t>47,9</w:t>
      </w:r>
      <w:r w:rsidRPr="006B68FA">
        <w:t>%</w:t>
      </w:r>
      <w:r w:rsidR="00A22562">
        <w:t>)</w:t>
      </w:r>
      <w:r>
        <w:t>,</w:t>
      </w:r>
      <w:r w:rsidRPr="006B68FA">
        <w:t xml:space="preserve"> </w:t>
      </w:r>
      <w:r>
        <w:t>в 202</w:t>
      </w:r>
      <w:r w:rsidR="00423A44">
        <w:t>3</w:t>
      </w:r>
      <w:r>
        <w:t xml:space="preserve">г. </w:t>
      </w:r>
      <w:r w:rsidR="00A22562">
        <w:t>–</w:t>
      </w:r>
      <w:r>
        <w:t xml:space="preserve"> </w:t>
      </w:r>
      <w:r w:rsidR="006568F3">
        <w:t>4164,1</w:t>
      </w:r>
      <w:r w:rsidR="00A22562">
        <w:t xml:space="preserve"> тыс. рублей (или </w:t>
      </w:r>
      <w:r w:rsidR="006568F3">
        <w:t>49,2</w:t>
      </w:r>
      <w:r>
        <w:t>%</w:t>
      </w:r>
      <w:r w:rsidR="00A22562">
        <w:t>)</w:t>
      </w:r>
      <w:r>
        <w:t>, «Культура, кинематография</w:t>
      </w:r>
      <w:r w:rsidRPr="004F6FB5">
        <w:t>»</w:t>
      </w:r>
      <w:r w:rsidRPr="006B68FA">
        <w:t xml:space="preserve"> </w:t>
      </w:r>
      <w:r>
        <w:t>в 20</w:t>
      </w:r>
      <w:r w:rsidR="00A22562">
        <w:t>2</w:t>
      </w:r>
      <w:r w:rsidR="00423A44">
        <w:t>1</w:t>
      </w:r>
      <w:r>
        <w:t xml:space="preserve">г. </w:t>
      </w:r>
      <w:r w:rsidR="00A22562">
        <w:t>–</w:t>
      </w:r>
      <w:r>
        <w:t xml:space="preserve"> </w:t>
      </w:r>
      <w:r w:rsidR="006568F3">
        <w:t>3494,3</w:t>
      </w:r>
      <w:r w:rsidR="00A22562">
        <w:t xml:space="preserve"> тыс. рублей (или </w:t>
      </w:r>
      <w:r w:rsidR="006568F3">
        <w:t>37,1</w:t>
      </w:r>
      <w:r w:rsidRPr="006B68FA">
        <w:t>%</w:t>
      </w:r>
      <w:r w:rsidR="00A22562">
        <w:t>)</w:t>
      </w:r>
      <w:r w:rsidRPr="006B68FA">
        <w:t xml:space="preserve">, </w:t>
      </w:r>
      <w:r>
        <w:t>в 202</w:t>
      </w:r>
      <w:r w:rsidR="00423A44">
        <w:t>2</w:t>
      </w:r>
      <w:r>
        <w:t xml:space="preserve">г. </w:t>
      </w:r>
      <w:r w:rsidR="00A22562">
        <w:t>–</w:t>
      </w:r>
      <w:r>
        <w:t xml:space="preserve"> </w:t>
      </w:r>
      <w:r w:rsidR="006568F3">
        <w:t>2934,6</w:t>
      </w:r>
      <w:r w:rsidR="00A22562">
        <w:t xml:space="preserve"> тыс. рублей (или </w:t>
      </w:r>
      <w:r w:rsidR="006568F3">
        <w:t>33,2</w:t>
      </w:r>
      <w:r w:rsidRPr="006B68FA">
        <w:t>%</w:t>
      </w:r>
      <w:r w:rsidR="00A22562">
        <w:t>)</w:t>
      </w:r>
      <w:r w:rsidRPr="006B68FA">
        <w:t xml:space="preserve">, </w:t>
      </w:r>
      <w:r>
        <w:t>в 202</w:t>
      </w:r>
      <w:r w:rsidR="00423A44">
        <w:t>3</w:t>
      </w:r>
      <w:r>
        <w:t xml:space="preserve">г. </w:t>
      </w:r>
      <w:r w:rsidR="00A22562">
        <w:t>–</w:t>
      </w:r>
      <w:r>
        <w:t xml:space="preserve"> </w:t>
      </w:r>
      <w:r w:rsidR="006568F3">
        <w:t>2526,6</w:t>
      </w:r>
      <w:r w:rsidR="00A22562">
        <w:t xml:space="preserve"> тыс. рублей (или </w:t>
      </w:r>
      <w:r w:rsidR="006568F3">
        <w:t>29,9</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851EAD">
        <w:rPr>
          <w:rFonts w:ascii="Times New Roman" w:hAnsi="Times New Roman"/>
        </w:rPr>
        <w:t>1</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20</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6568F3">
        <w:rPr>
          <w:rFonts w:ascii="Times New Roman" w:hAnsi="Times New Roman"/>
        </w:rPr>
        <w:t>двум</w:t>
      </w:r>
      <w:r w:rsidRPr="00283264">
        <w:rPr>
          <w:rFonts w:ascii="Times New Roman" w:hAnsi="Times New Roman"/>
        </w:rPr>
        <w:t xml:space="preserve"> из </w:t>
      </w:r>
      <w:r w:rsidR="0084197B">
        <w:rPr>
          <w:rFonts w:ascii="Times New Roman" w:hAnsi="Times New Roman"/>
        </w:rPr>
        <w:t>девят</w:t>
      </w:r>
      <w:r>
        <w:rPr>
          <w:rFonts w:ascii="Times New Roman" w:hAnsi="Times New Roman"/>
        </w:rPr>
        <w:t>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851EAD">
        <w:rPr>
          <w:rFonts w:ascii="Times New Roman" w:hAnsi="Times New Roman"/>
          <w:snapToGrid w:val="0"/>
        </w:rPr>
        <w:t>3,2</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w:t>
      </w:r>
      <w:r w:rsidR="00851EAD">
        <w:rPr>
          <w:rFonts w:ascii="Times New Roman" w:hAnsi="Times New Roman"/>
          <w:snapToGrid w:val="0"/>
        </w:rPr>
        <w:t>102,4</w:t>
      </w:r>
      <w:r w:rsidR="0084197B">
        <w:rPr>
          <w:rFonts w:ascii="Times New Roman" w:hAnsi="Times New Roman"/>
          <w:snapToGrid w:val="0"/>
        </w:rPr>
        <w:t xml:space="preserve">%), </w:t>
      </w:r>
      <w:r w:rsidRPr="00283264">
        <w:rPr>
          <w:rFonts w:ascii="Times New Roman" w:hAnsi="Times New Roman"/>
          <w:snapToGrid w:val="0"/>
        </w:rPr>
        <w:t>«МБ</w:t>
      </w:r>
      <w:r w:rsidRPr="00283264">
        <w:rPr>
          <w:rFonts w:ascii="Times New Roman" w:hAnsi="Times New Roman"/>
        </w:rPr>
        <w:t>Т общего характера бюджетам бюджетной системы РФ»</w:t>
      </w:r>
      <w:r>
        <w:rPr>
          <w:rFonts w:ascii="Times New Roman" w:hAnsi="Times New Roman"/>
          <w:snapToGrid w:val="0"/>
        </w:rPr>
        <w:t xml:space="preserve"> - на </w:t>
      </w:r>
      <w:r w:rsidR="00851EAD">
        <w:rPr>
          <w:rFonts w:ascii="Times New Roman" w:hAnsi="Times New Roman"/>
          <w:snapToGrid w:val="0"/>
        </w:rPr>
        <w:t>79,2</w:t>
      </w:r>
      <w:r>
        <w:rPr>
          <w:rFonts w:ascii="Times New Roman" w:hAnsi="Times New Roman"/>
          <w:snapToGrid w:val="0"/>
        </w:rPr>
        <w:t xml:space="preserve"> тыс.руб. (рост </w:t>
      </w:r>
      <w:r w:rsidR="00851EAD">
        <w:rPr>
          <w:rFonts w:ascii="Times New Roman" w:hAnsi="Times New Roman"/>
          <w:snapToGrid w:val="0"/>
        </w:rPr>
        <w:t>109,1</w:t>
      </w:r>
      <w:r>
        <w:rPr>
          <w:rFonts w:ascii="Times New Roman" w:hAnsi="Times New Roman"/>
          <w:snapToGrid w:val="0"/>
        </w:rPr>
        <w:t>%)</w:t>
      </w:r>
      <w:r w:rsidRPr="00283264">
        <w:rPr>
          <w:rFonts w:ascii="Times New Roman" w:hAnsi="Times New Roman"/>
          <w:snapToGrid w:val="0"/>
        </w:rPr>
        <w:t xml:space="preserve">.   </w:t>
      </w:r>
    </w:p>
    <w:p w:rsidR="00943230" w:rsidRPr="00054904"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w:t>
      </w:r>
      <w:r w:rsidR="003801FF">
        <w:rPr>
          <w:snapToGrid w:val="0"/>
        </w:rPr>
        <w:t>1</w:t>
      </w:r>
      <w:r>
        <w:rPr>
          <w:snapToGrid w:val="0"/>
        </w:rPr>
        <w:t xml:space="preserve"> году, по сравнению с </w:t>
      </w:r>
      <w:r w:rsidRPr="00054904">
        <w:rPr>
          <w:snapToGrid w:val="0"/>
        </w:rPr>
        <w:t xml:space="preserve">оценкой </w:t>
      </w:r>
      <w:r w:rsidR="003801FF" w:rsidRPr="00054904">
        <w:rPr>
          <w:snapToGrid w:val="0"/>
        </w:rPr>
        <w:t xml:space="preserve">исполнения </w:t>
      </w:r>
      <w:r w:rsidRPr="00054904">
        <w:rPr>
          <w:snapToGrid w:val="0"/>
        </w:rPr>
        <w:t>20</w:t>
      </w:r>
      <w:r w:rsidR="003801FF" w:rsidRPr="00054904">
        <w:rPr>
          <w:snapToGrid w:val="0"/>
        </w:rPr>
        <w:t>20</w:t>
      </w:r>
      <w:r w:rsidRPr="00054904">
        <w:rPr>
          <w:snapToGrid w:val="0"/>
        </w:rPr>
        <w:t xml:space="preserve"> года</w:t>
      </w:r>
      <w:r w:rsidR="0084197B" w:rsidRPr="00054904">
        <w:rPr>
          <w:snapToGrid w:val="0"/>
        </w:rPr>
        <w:t>,</w:t>
      </w:r>
      <w:r w:rsidRPr="00054904">
        <w:rPr>
          <w:snapToGrid w:val="0"/>
        </w:rPr>
        <w:t xml:space="preserve"> на </w:t>
      </w:r>
      <w:r w:rsidR="0084197B" w:rsidRPr="00054904">
        <w:rPr>
          <w:snapToGrid w:val="0"/>
        </w:rPr>
        <w:t>«</w:t>
      </w:r>
      <w:r w:rsidR="0084197B" w:rsidRPr="00054904">
        <w:rPr>
          <w:color w:val="000000"/>
          <w:shd w:val="clear" w:color="auto" w:fill="FFFFFF"/>
        </w:rPr>
        <w:t>Общегосударственные расходы</w:t>
      </w:r>
      <w:r w:rsidR="0084197B" w:rsidRPr="00054904">
        <w:rPr>
          <w:snapToGrid w:val="0"/>
        </w:rPr>
        <w:t xml:space="preserve">» </w:t>
      </w:r>
      <w:r w:rsidR="0084197B" w:rsidRPr="00054904">
        <w:t xml:space="preserve">составит </w:t>
      </w:r>
      <w:r w:rsidR="00054904" w:rsidRPr="00054904">
        <w:t>318,3</w:t>
      </w:r>
      <w:r w:rsidR="0084197B" w:rsidRPr="00054904">
        <w:t xml:space="preserve"> тыс. руб. (-</w:t>
      </w:r>
      <w:r w:rsidR="00054904" w:rsidRPr="00054904">
        <w:t>7</w:t>
      </w:r>
      <w:r w:rsidR="0084197B" w:rsidRPr="00054904">
        <w:t xml:space="preserve">%), </w:t>
      </w:r>
      <w:r w:rsidR="00054904" w:rsidRPr="00054904">
        <w:t>на «</w:t>
      </w:r>
      <w:r w:rsidR="00054904" w:rsidRPr="00054904">
        <w:rPr>
          <w:bCs/>
        </w:rPr>
        <w:t xml:space="preserve">Национальную безопасность и правоохранительную деятельность» - 12,5 тыс. руб. (-100%), </w:t>
      </w:r>
      <w:r w:rsidR="00054904" w:rsidRPr="00054904">
        <w:t xml:space="preserve"> на «Национальную экономику</w:t>
      </w:r>
      <w:r w:rsidR="00054904">
        <w:t>»</w:t>
      </w:r>
      <w:r w:rsidR="00054904" w:rsidRPr="00054904">
        <w:t xml:space="preserve"> - 2634,5 тыс. руб. (-85,6%), </w:t>
      </w:r>
      <w:r w:rsidR="0084197B" w:rsidRPr="00054904">
        <w:t xml:space="preserve">на «Жилищно-коммунальное хозяйство» - </w:t>
      </w:r>
      <w:r w:rsidR="00054904" w:rsidRPr="00054904">
        <w:t>400,2</w:t>
      </w:r>
      <w:r w:rsidR="0084197B" w:rsidRPr="00054904">
        <w:t xml:space="preserve"> тыс. руб. (-</w:t>
      </w:r>
      <w:r w:rsidR="00054904" w:rsidRPr="00054904">
        <w:t>87,4</w:t>
      </w:r>
      <w:r w:rsidR="0084197B" w:rsidRPr="00054904">
        <w:t>%), «Образование» -</w:t>
      </w:r>
      <w:r w:rsidR="00054904" w:rsidRPr="00054904">
        <w:t>25</w:t>
      </w:r>
      <w:r w:rsidR="0084197B" w:rsidRPr="00054904">
        <w:t xml:space="preserve"> тыс. руб. (-100%), на </w:t>
      </w:r>
      <w:r w:rsidRPr="00054904">
        <w:t xml:space="preserve">«Культуру, кинематографию» </w:t>
      </w:r>
      <w:r w:rsidR="00453CC4" w:rsidRPr="00054904">
        <w:rPr>
          <w:snapToGrid w:val="0"/>
        </w:rPr>
        <w:t>-</w:t>
      </w:r>
      <w:r w:rsidR="00054904" w:rsidRPr="00054904">
        <w:rPr>
          <w:snapToGrid w:val="0"/>
        </w:rPr>
        <w:t xml:space="preserve"> 532</w:t>
      </w:r>
      <w:r w:rsidRPr="00054904">
        <w:rPr>
          <w:snapToGrid w:val="0"/>
        </w:rPr>
        <w:t xml:space="preserve"> тыс.руб. (-</w:t>
      </w:r>
      <w:r w:rsidR="00054904" w:rsidRPr="00054904">
        <w:rPr>
          <w:snapToGrid w:val="0"/>
        </w:rPr>
        <w:t>13,2</w:t>
      </w:r>
      <w:r w:rsidR="00453CC4" w:rsidRPr="00054904">
        <w:rPr>
          <w:snapToGrid w:val="0"/>
        </w:rPr>
        <w:t>%)</w:t>
      </w:r>
      <w:r w:rsidR="003801FF" w:rsidRPr="00054904">
        <w:rPr>
          <w:snapToGrid w:val="0"/>
        </w:rPr>
        <w:t xml:space="preserve">, на «Социальную политику» - </w:t>
      </w:r>
      <w:r w:rsidR="00054904" w:rsidRPr="00054904">
        <w:rPr>
          <w:snapToGrid w:val="0"/>
        </w:rPr>
        <w:t>20</w:t>
      </w:r>
      <w:r w:rsidR="003801FF" w:rsidRPr="00054904">
        <w:rPr>
          <w:snapToGrid w:val="0"/>
        </w:rPr>
        <w:t xml:space="preserve"> тыс. руб. (-</w:t>
      </w:r>
      <w:r w:rsidR="00054904" w:rsidRPr="00054904">
        <w:rPr>
          <w:snapToGrid w:val="0"/>
        </w:rPr>
        <w:t>14,3</w:t>
      </w:r>
      <w:r w:rsidR="003801FF" w:rsidRPr="00054904">
        <w:rPr>
          <w:snapToGrid w:val="0"/>
        </w:rPr>
        <w:t>%)</w:t>
      </w:r>
      <w:r w:rsidRPr="00054904">
        <w:t>.</w:t>
      </w:r>
    </w:p>
    <w:p w:rsidR="00845C93" w:rsidRDefault="00845C93" w:rsidP="00943230">
      <w:pPr>
        <w:widowControl w:val="0"/>
        <w:numPr>
          <w:ilvl w:val="12"/>
          <w:numId w:val="0"/>
        </w:numPr>
        <w:ind w:firstLine="567"/>
        <w:jc w:val="both"/>
      </w:pPr>
      <w:r>
        <w:t xml:space="preserve"> Структура расходов местного бюджета на 2021 год представлена в таблице 4 (тыс. руб.):</w:t>
      </w:r>
    </w:p>
    <w:p w:rsidR="00845C93" w:rsidRPr="002A7EBC" w:rsidRDefault="002A7EBC" w:rsidP="002A7EBC">
      <w:pPr>
        <w:widowControl w:val="0"/>
        <w:numPr>
          <w:ilvl w:val="12"/>
          <w:numId w:val="0"/>
        </w:numPr>
        <w:ind w:firstLine="567"/>
        <w:jc w:val="right"/>
        <w:rPr>
          <w:i/>
        </w:rPr>
      </w:pPr>
      <w:r w:rsidRPr="002A7EBC">
        <w:rPr>
          <w:i/>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3"/>
        <w:gridCol w:w="1675"/>
        <w:gridCol w:w="1682"/>
      </w:tblGrid>
      <w:tr w:rsidR="00F2337E" w:rsidRPr="002A7EBC" w:rsidTr="002A7EBC">
        <w:tc>
          <w:tcPr>
            <w:tcW w:w="6345" w:type="dxa"/>
          </w:tcPr>
          <w:p w:rsidR="00F2337E" w:rsidRPr="002A7EBC" w:rsidRDefault="00F2337E" w:rsidP="00F2337E">
            <w:pPr>
              <w:widowControl w:val="0"/>
              <w:numPr>
                <w:ilvl w:val="12"/>
                <w:numId w:val="0"/>
              </w:numPr>
              <w:jc w:val="both"/>
              <w:rPr>
                <w:b/>
                <w:sz w:val="18"/>
                <w:szCs w:val="18"/>
              </w:rPr>
            </w:pPr>
            <w:r w:rsidRPr="002A7EBC">
              <w:rPr>
                <w:b/>
                <w:sz w:val="18"/>
                <w:szCs w:val="18"/>
              </w:rPr>
              <w:t>Наименование</w:t>
            </w:r>
          </w:p>
        </w:tc>
        <w:tc>
          <w:tcPr>
            <w:tcW w:w="1701" w:type="dxa"/>
            <w:vAlign w:val="center"/>
          </w:tcPr>
          <w:p w:rsidR="00F2337E" w:rsidRPr="002A7EBC" w:rsidRDefault="00F2337E" w:rsidP="00F2337E">
            <w:pPr>
              <w:widowControl w:val="0"/>
              <w:numPr>
                <w:ilvl w:val="12"/>
                <w:numId w:val="0"/>
              </w:numPr>
              <w:jc w:val="center"/>
              <w:rPr>
                <w:b/>
                <w:sz w:val="18"/>
                <w:szCs w:val="18"/>
              </w:rPr>
            </w:pPr>
            <w:r w:rsidRPr="002A7EBC">
              <w:rPr>
                <w:b/>
                <w:sz w:val="18"/>
                <w:szCs w:val="18"/>
              </w:rPr>
              <w:t>Проект на 2021г</w:t>
            </w:r>
            <w:r w:rsidR="002A7EBC">
              <w:rPr>
                <w:b/>
                <w:sz w:val="18"/>
                <w:szCs w:val="18"/>
              </w:rPr>
              <w:t>.</w:t>
            </w:r>
          </w:p>
        </w:tc>
        <w:tc>
          <w:tcPr>
            <w:tcW w:w="1701" w:type="dxa"/>
            <w:vAlign w:val="center"/>
          </w:tcPr>
          <w:p w:rsidR="00F2337E" w:rsidRPr="002A7EBC" w:rsidRDefault="00F2337E" w:rsidP="007E2A34">
            <w:pPr>
              <w:jc w:val="center"/>
              <w:rPr>
                <w:b/>
                <w:sz w:val="18"/>
                <w:szCs w:val="18"/>
              </w:rPr>
            </w:pPr>
            <w:r w:rsidRPr="002A7EBC">
              <w:rPr>
                <w:b/>
                <w:sz w:val="18"/>
                <w:szCs w:val="18"/>
              </w:rPr>
              <w:t>Удельный вес, %</w:t>
            </w:r>
          </w:p>
        </w:tc>
      </w:tr>
      <w:tr w:rsidR="00F2337E" w:rsidRPr="002A7EBC" w:rsidTr="002A7EBC">
        <w:tc>
          <w:tcPr>
            <w:tcW w:w="6345" w:type="dxa"/>
          </w:tcPr>
          <w:p w:rsidR="00F2337E" w:rsidRPr="002A7EBC" w:rsidRDefault="00F2337E" w:rsidP="007E2A34">
            <w:pPr>
              <w:widowControl w:val="0"/>
              <w:numPr>
                <w:ilvl w:val="12"/>
                <w:numId w:val="0"/>
              </w:numPr>
              <w:jc w:val="both"/>
              <w:rPr>
                <w:b/>
                <w:sz w:val="18"/>
                <w:szCs w:val="18"/>
              </w:rPr>
            </w:pPr>
            <w:r w:rsidRPr="002A7EBC">
              <w:rPr>
                <w:b/>
                <w:sz w:val="18"/>
                <w:szCs w:val="18"/>
              </w:rPr>
              <w:t>Расходы, всего</w:t>
            </w:r>
          </w:p>
        </w:tc>
        <w:tc>
          <w:tcPr>
            <w:tcW w:w="1701" w:type="dxa"/>
            <w:vAlign w:val="center"/>
          </w:tcPr>
          <w:p w:rsidR="00F2337E" w:rsidRPr="002A7EBC" w:rsidRDefault="00643E05" w:rsidP="007E2A34">
            <w:pPr>
              <w:widowControl w:val="0"/>
              <w:numPr>
                <w:ilvl w:val="12"/>
                <w:numId w:val="0"/>
              </w:numPr>
              <w:jc w:val="center"/>
              <w:rPr>
                <w:b/>
                <w:sz w:val="18"/>
                <w:szCs w:val="18"/>
              </w:rPr>
            </w:pPr>
            <w:r>
              <w:rPr>
                <w:b/>
                <w:sz w:val="18"/>
                <w:szCs w:val="18"/>
              </w:rPr>
              <w:t>9418,9</w:t>
            </w:r>
          </w:p>
        </w:tc>
        <w:tc>
          <w:tcPr>
            <w:tcW w:w="1701" w:type="dxa"/>
            <w:vAlign w:val="center"/>
          </w:tcPr>
          <w:p w:rsidR="00F2337E" w:rsidRPr="002A7EBC" w:rsidRDefault="00643E05" w:rsidP="007E2A34">
            <w:pPr>
              <w:jc w:val="center"/>
              <w:rPr>
                <w:b/>
                <w:sz w:val="18"/>
                <w:szCs w:val="18"/>
              </w:rPr>
            </w:pPr>
            <w:r>
              <w:rPr>
                <w:b/>
                <w:sz w:val="18"/>
                <w:szCs w:val="18"/>
              </w:rPr>
              <w:t>100</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Общегосударственные вопросы</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4219,4</w:t>
            </w:r>
          </w:p>
        </w:tc>
        <w:tc>
          <w:tcPr>
            <w:tcW w:w="1701" w:type="dxa"/>
            <w:vAlign w:val="center"/>
          </w:tcPr>
          <w:p w:rsidR="00F2337E" w:rsidRPr="002A7EBC" w:rsidRDefault="00643E05" w:rsidP="007E2A34">
            <w:pPr>
              <w:jc w:val="center"/>
              <w:rPr>
                <w:sz w:val="18"/>
                <w:szCs w:val="18"/>
              </w:rPr>
            </w:pPr>
            <w:r>
              <w:rPr>
                <w:sz w:val="18"/>
                <w:szCs w:val="18"/>
              </w:rPr>
              <w:t>44,8</w:t>
            </w:r>
          </w:p>
        </w:tc>
      </w:tr>
      <w:tr w:rsidR="00F2337E" w:rsidRPr="002A7EBC" w:rsidTr="002A7EBC">
        <w:tc>
          <w:tcPr>
            <w:tcW w:w="6345" w:type="dxa"/>
          </w:tcPr>
          <w:p w:rsidR="00F2337E" w:rsidRPr="002A7EBC" w:rsidRDefault="00F2337E" w:rsidP="007E2A34">
            <w:pPr>
              <w:widowControl w:val="0"/>
              <w:rPr>
                <w:sz w:val="18"/>
                <w:szCs w:val="18"/>
              </w:rPr>
            </w:pPr>
            <w:r w:rsidRPr="002A7EBC">
              <w:rPr>
                <w:bCs/>
                <w:sz w:val="18"/>
                <w:szCs w:val="18"/>
              </w:rPr>
              <w:t>Национальная оборона</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137,3</w:t>
            </w:r>
          </w:p>
        </w:tc>
        <w:tc>
          <w:tcPr>
            <w:tcW w:w="1701" w:type="dxa"/>
            <w:vAlign w:val="center"/>
          </w:tcPr>
          <w:p w:rsidR="00F2337E" w:rsidRPr="002A7EBC" w:rsidRDefault="00643E05" w:rsidP="007E2A34">
            <w:pPr>
              <w:jc w:val="center"/>
              <w:rPr>
                <w:sz w:val="18"/>
                <w:szCs w:val="18"/>
              </w:rPr>
            </w:pPr>
            <w:r>
              <w:rPr>
                <w:sz w:val="18"/>
                <w:szCs w:val="18"/>
              </w:rPr>
              <w:t>1,5</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Национальная экономика</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444,9</w:t>
            </w:r>
          </w:p>
        </w:tc>
        <w:tc>
          <w:tcPr>
            <w:tcW w:w="1701" w:type="dxa"/>
            <w:vAlign w:val="center"/>
          </w:tcPr>
          <w:p w:rsidR="00F2337E" w:rsidRPr="002A7EBC" w:rsidRDefault="00643E05" w:rsidP="007E2A34">
            <w:pPr>
              <w:jc w:val="center"/>
              <w:rPr>
                <w:sz w:val="18"/>
                <w:szCs w:val="18"/>
              </w:rPr>
            </w:pPr>
            <w:r>
              <w:rPr>
                <w:sz w:val="18"/>
                <w:szCs w:val="18"/>
              </w:rPr>
              <w:t>4,7</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Жилищно-коммунальное хозяйство</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57,7</w:t>
            </w:r>
          </w:p>
        </w:tc>
        <w:tc>
          <w:tcPr>
            <w:tcW w:w="1701" w:type="dxa"/>
            <w:vAlign w:val="center"/>
          </w:tcPr>
          <w:p w:rsidR="00F2337E" w:rsidRPr="002A7EBC" w:rsidRDefault="00643E05" w:rsidP="007E2A34">
            <w:pPr>
              <w:jc w:val="center"/>
              <w:rPr>
                <w:sz w:val="18"/>
                <w:szCs w:val="18"/>
              </w:rPr>
            </w:pPr>
            <w:r>
              <w:rPr>
                <w:sz w:val="18"/>
                <w:szCs w:val="18"/>
              </w:rPr>
              <w:t>0,6</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Культура, кинематография</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3494,3</w:t>
            </w:r>
          </w:p>
        </w:tc>
        <w:tc>
          <w:tcPr>
            <w:tcW w:w="1701" w:type="dxa"/>
            <w:vAlign w:val="center"/>
          </w:tcPr>
          <w:p w:rsidR="00F2337E" w:rsidRPr="002A7EBC" w:rsidRDefault="00643E05" w:rsidP="007E2A34">
            <w:pPr>
              <w:jc w:val="center"/>
              <w:rPr>
                <w:sz w:val="18"/>
                <w:szCs w:val="18"/>
              </w:rPr>
            </w:pPr>
            <w:r>
              <w:rPr>
                <w:sz w:val="18"/>
                <w:szCs w:val="18"/>
              </w:rPr>
              <w:t>37,1</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Социальная политика</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120</w:t>
            </w:r>
          </w:p>
        </w:tc>
        <w:tc>
          <w:tcPr>
            <w:tcW w:w="1701" w:type="dxa"/>
            <w:vAlign w:val="center"/>
          </w:tcPr>
          <w:p w:rsidR="00F2337E" w:rsidRPr="002A7EBC" w:rsidRDefault="00643E05" w:rsidP="007E2A34">
            <w:pPr>
              <w:jc w:val="center"/>
              <w:rPr>
                <w:sz w:val="18"/>
                <w:szCs w:val="18"/>
              </w:rPr>
            </w:pPr>
            <w:r>
              <w:rPr>
                <w:sz w:val="18"/>
                <w:szCs w:val="18"/>
              </w:rPr>
              <w:t>1,3</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 xml:space="preserve">Обслуживание государственного (муниципального) долга </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0,1</w:t>
            </w:r>
          </w:p>
        </w:tc>
        <w:tc>
          <w:tcPr>
            <w:tcW w:w="1701" w:type="dxa"/>
            <w:vAlign w:val="center"/>
          </w:tcPr>
          <w:p w:rsidR="00F2337E" w:rsidRPr="002A7EBC" w:rsidRDefault="00643E05" w:rsidP="007E2A34">
            <w:pPr>
              <w:jc w:val="center"/>
              <w:rPr>
                <w:sz w:val="18"/>
                <w:szCs w:val="18"/>
              </w:rPr>
            </w:pPr>
            <w:r>
              <w:rPr>
                <w:sz w:val="18"/>
                <w:szCs w:val="18"/>
              </w:rPr>
              <w:t>-</w:t>
            </w:r>
          </w:p>
        </w:tc>
      </w:tr>
      <w:tr w:rsidR="00F2337E" w:rsidRPr="002A7EBC" w:rsidTr="002A7EBC">
        <w:tc>
          <w:tcPr>
            <w:tcW w:w="6345" w:type="dxa"/>
          </w:tcPr>
          <w:p w:rsidR="00F2337E" w:rsidRPr="002A7EBC" w:rsidRDefault="00F2337E" w:rsidP="007E2A34">
            <w:pPr>
              <w:autoSpaceDE w:val="0"/>
              <w:autoSpaceDN w:val="0"/>
              <w:adjustRightInd w:val="0"/>
              <w:rPr>
                <w:sz w:val="18"/>
                <w:szCs w:val="18"/>
              </w:rPr>
            </w:pPr>
            <w:r w:rsidRPr="002A7EBC">
              <w:rPr>
                <w:sz w:val="18"/>
                <w:szCs w:val="18"/>
              </w:rPr>
              <w:t>Межбюджетные трансферты общего характера бюджетам бюджетной системы Российской Федерации</w:t>
            </w:r>
          </w:p>
        </w:tc>
        <w:tc>
          <w:tcPr>
            <w:tcW w:w="1701" w:type="dxa"/>
            <w:vAlign w:val="center"/>
          </w:tcPr>
          <w:p w:rsidR="00F2337E" w:rsidRPr="002A7EBC" w:rsidRDefault="00643E05" w:rsidP="007E2A34">
            <w:pPr>
              <w:widowControl w:val="0"/>
              <w:numPr>
                <w:ilvl w:val="12"/>
                <w:numId w:val="0"/>
              </w:numPr>
              <w:jc w:val="center"/>
              <w:rPr>
                <w:sz w:val="18"/>
                <w:szCs w:val="18"/>
              </w:rPr>
            </w:pPr>
            <w:r>
              <w:rPr>
                <w:sz w:val="18"/>
                <w:szCs w:val="18"/>
              </w:rPr>
              <w:t>945,2</w:t>
            </w:r>
          </w:p>
        </w:tc>
        <w:tc>
          <w:tcPr>
            <w:tcW w:w="1701" w:type="dxa"/>
            <w:vAlign w:val="center"/>
          </w:tcPr>
          <w:p w:rsidR="00F2337E" w:rsidRPr="002A7EBC" w:rsidRDefault="00643E05" w:rsidP="007E2A34">
            <w:pPr>
              <w:jc w:val="center"/>
              <w:rPr>
                <w:sz w:val="18"/>
                <w:szCs w:val="18"/>
              </w:rPr>
            </w:pPr>
            <w:r>
              <w:rPr>
                <w:sz w:val="18"/>
                <w:szCs w:val="18"/>
              </w:rPr>
              <w:t>10</w:t>
            </w:r>
          </w:p>
        </w:tc>
      </w:tr>
    </w:tbl>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DC2F83">
        <w:t>1</w:t>
      </w:r>
      <w:r w:rsidRPr="00595634">
        <w:t xml:space="preserve"> г. установлены в объеме </w:t>
      </w:r>
      <w:r w:rsidR="0071451C">
        <w:t>4219,4</w:t>
      </w:r>
      <w:r w:rsidRPr="00595634">
        <w:t xml:space="preserve"> тыс.руб., </w:t>
      </w:r>
      <w:r w:rsidR="00DC2F83">
        <w:t>со снижением</w:t>
      </w:r>
      <w:r w:rsidRPr="00595634">
        <w:t xml:space="preserve"> на </w:t>
      </w:r>
      <w:r w:rsidR="0071451C">
        <w:t>318,3</w:t>
      </w:r>
      <w:r w:rsidRPr="00595634">
        <w:t xml:space="preserve"> тыс.руб. </w:t>
      </w:r>
      <w:r w:rsidR="00B931F8" w:rsidRPr="00595634">
        <w:t>(-</w:t>
      </w:r>
      <w:r w:rsidR="0071451C">
        <w:t>7</w:t>
      </w:r>
      <w:r w:rsidR="00B931F8" w:rsidRPr="00595634">
        <w:t xml:space="preserve">%) </w:t>
      </w:r>
      <w:r w:rsidR="00DC2F83">
        <w:t xml:space="preserve">к оценке </w:t>
      </w:r>
      <w:r w:rsidR="00BD6403" w:rsidRPr="00595634">
        <w:t xml:space="preserve">ожидаемого исполнения </w:t>
      </w:r>
      <w:r w:rsidRPr="00595634">
        <w:t xml:space="preserve">расходов </w:t>
      </w:r>
      <w:r w:rsidR="00106B5B">
        <w:t xml:space="preserve">в </w:t>
      </w:r>
      <w:r w:rsidRPr="00595634">
        <w:t>20</w:t>
      </w:r>
      <w:r w:rsidR="00DC2F83">
        <w:t>20</w:t>
      </w:r>
      <w:r w:rsidRPr="00595634">
        <w:t xml:space="preserve">г. Данные расходы составляют </w:t>
      </w:r>
      <w:r w:rsidR="0071451C">
        <w:t>44,8</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DC2F83">
        <w:t>1</w:t>
      </w:r>
      <w:r w:rsidRPr="00595634">
        <w:t>г.</w:t>
      </w:r>
      <w:r w:rsidRPr="00895EC4">
        <w:t xml:space="preserve"> Расходы </w:t>
      </w:r>
      <w:r w:rsidR="008C3794">
        <w:t>на</w:t>
      </w:r>
      <w:r w:rsidRPr="00895EC4">
        <w:t xml:space="preserve"> 20</w:t>
      </w:r>
      <w:r w:rsidR="008C3794">
        <w:t>2</w:t>
      </w:r>
      <w:r w:rsidR="00DC2F83">
        <w:t>2</w:t>
      </w:r>
      <w:r w:rsidR="00A315C2">
        <w:t>-202</w:t>
      </w:r>
      <w:r w:rsidR="00DC2F83">
        <w:t>3</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71451C">
        <w:t>4233,6</w:t>
      </w:r>
      <w:r w:rsidRPr="00895EC4">
        <w:t xml:space="preserve"> тыс.руб.</w:t>
      </w:r>
      <w:r w:rsidR="00A315C2">
        <w:t xml:space="preserve"> и </w:t>
      </w:r>
      <w:r w:rsidR="0071451C">
        <w:t>4164,1</w:t>
      </w:r>
      <w:r w:rsidR="008C3794">
        <w:t xml:space="preserve"> тыс. рублей</w:t>
      </w:r>
      <w:r w:rsidR="006469FD">
        <w:t xml:space="preserve">, </w:t>
      </w:r>
      <w:r w:rsidR="00A315C2">
        <w:t>соо</w:t>
      </w:r>
      <w:r w:rsidR="00164D82">
        <w:t>тветственно</w:t>
      </w:r>
      <w:r w:rsidR="00A315C2">
        <w:t>.</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9A5EB2">
        <w:t>Знаменского</w:t>
      </w:r>
      <w:r w:rsidR="0000549E">
        <w:t xml:space="preserve"> сельского поселения</w:t>
      </w:r>
      <w:r w:rsidRPr="00895EC4">
        <w:t xml:space="preserve"> расходы объединены по </w:t>
      </w:r>
      <w:r>
        <w:t>пяти</w:t>
      </w:r>
      <w:r w:rsidR="00C15EE2">
        <w:t xml:space="preserve"> </w:t>
      </w:r>
      <w:r w:rsidR="00D92996">
        <w:t xml:space="preserve">(2021г., 2023г.) и шести (2022г.) </w:t>
      </w:r>
      <w:r w:rsidR="00C15EE2">
        <w:t>подразделам:</w:t>
      </w:r>
      <w:r w:rsidRPr="00895EC4">
        <w:t xml:space="preserve"> </w:t>
      </w:r>
    </w:p>
    <w:p w:rsidR="00F74BD4" w:rsidRPr="00895EC4" w:rsidRDefault="00745D94" w:rsidP="00F74BD4">
      <w:pPr>
        <w:widowControl w:val="0"/>
        <w:numPr>
          <w:ilvl w:val="12"/>
          <w:numId w:val="0"/>
        </w:num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F74BD4">
        <w:t>1</w:t>
      </w:r>
      <w:r w:rsidR="0071451C">
        <w:t>-2023</w:t>
      </w:r>
      <w:r w:rsidRPr="00895EC4">
        <w:t xml:space="preserve"> г</w:t>
      </w:r>
      <w:r>
        <w:t>од</w:t>
      </w:r>
      <w:r w:rsidR="0071451C">
        <w:t>ы</w:t>
      </w:r>
      <w:r>
        <w:t xml:space="preserve"> установлены</w:t>
      </w:r>
      <w:r w:rsidRPr="00895EC4">
        <w:t xml:space="preserve"> расходы на обеспечение деятельности главы </w:t>
      </w:r>
      <w:r w:rsidR="009A5EB2">
        <w:t>Знаменского</w:t>
      </w:r>
      <w:r w:rsidR="0000549E">
        <w:t xml:space="preserve"> сельского поселения</w:t>
      </w:r>
      <w:r w:rsidRPr="00895EC4">
        <w:t xml:space="preserve"> в сумме </w:t>
      </w:r>
      <w:r w:rsidR="0071451C">
        <w:t>867</w:t>
      </w:r>
      <w:r w:rsidR="004E4D52">
        <w:t xml:space="preserve"> </w:t>
      </w:r>
      <w:r w:rsidRPr="00895EC4">
        <w:t>тыс.руб.</w:t>
      </w:r>
      <w:r w:rsidR="00E53E0C">
        <w:t>,</w:t>
      </w:r>
      <w:r w:rsidR="006469FD">
        <w:t xml:space="preserve"> </w:t>
      </w:r>
      <w:r w:rsidR="0071451C">
        <w:t xml:space="preserve">ежегодно, </w:t>
      </w:r>
      <w:r>
        <w:t>с</w:t>
      </w:r>
      <w:r w:rsidR="00F74BD4">
        <w:t>о</w:t>
      </w:r>
      <w:r>
        <w:t xml:space="preserve"> </w:t>
      </w:r>
      <w:r w:rsidR="00F74BD4">
        <w:t>снижением</w:t>
      </w:r>
      <w:r w:rsidRPr="00895EC4">
        <w:t xml:space="preserve"> на </w:t>
      </w:r>
      <w:r w:rsidR="0071451C">
        <w:t xml:space="preserve">133,9 </w:t>
      </w:r>
      <w:r w:rsidRPr="00895EC4">
        <w:t>тыс.руб. (</w:t>
      </w:r>
      <w:r w:rsidR="00F74BD4">
        <w:t>-</w:t>
      </w:r>
      <w:r w:rsidR="0071451C">
        <w:t>13,4</w:t>
      </w:r>
      <w:r w:rsidRPr="00895EC4">
        <w:t>%)</w:t>
      </w:r>
      <w:r>
        <w:t xml:space="preserve"> к оценке ожидаемого исполнения расходов в 20</w:t>
      </w:r>
      <w:r w:rsidR="00F74BD4">
        <w:t>20</w:t>
      </w:r>
      <w:r>
        <w:t xml:space="preserve"> году</w:t>
      </w:r>
      <w:r w:rsidR="00F74BD4">
        <w:t xml:space="preserve">. </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9A5EB2">
        <w:rPr>
          <w:rFonts w:ascii="Times New Roman" w:hAnsi="Times New Roman"/>
        </w:rPr>
        <w:t>Знаменского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w:t>
      </w:r>
      <w:r w:rsidR="00AD1D8D">
        <w:rPr>
          <w:rFonts w:ascii="Times New Roman" w:hAnsi="Times New Roman"/>
        </w:rPr>
        <w:t>1</w:t>
      </w:r>
      <w:r w:rsidRPr="00895EC4">
        <w:rPr>
          <w:rFonts w:ascii="Times New Roman" w:hAnsi="Times New Roman"/>
        </w:rPr>
        <w:t>-20</w:t>
      </w:r>
      <w:r w:rsidR="003A2337">
        <w:rPr>
          <w:rFonts w:ascii="Times New Roman" w:hAnsi="Times New Roman"/>
        </w:rPr>
        <w:t>2</w:t>
      </w:r>
      <w:r w:rsidR="00AD1D8D">
        <w:rPr>
          <w:rFonts w:ascii="Times New Roman" w:hAnsi="Times New Roman"/>
        </w:rPr>
        <w:t>3</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71162A">
        <w:rPr>
          <w:rFonts w:ascii="Times New Roman" w:hAnsi="Times New Roman"/>
        </w:rPr>
        <w:t>1</w:t>
      </w:r>
      <w:r>
        <w:rPr>
          <w:rFonts w:ascii="Times New Roman" w:hAnsi="Times New Roman"/>
        </w:rPr>
        <w:t>,0</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w:t>
      </w:r>
      <w:r w:rsidR="00AD1D8D">
        <w:rPr>
          <w:rFonts w:ascii="Times New Roman" w:hAnsi="Times New Roman"/>
        </w:rPr>
        <w:t>20</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9A5EB2">
        <w:t>Знаменского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AD1D8D">
        <w:t>1</w:t>
      </w:r>
      <w:r w:rsidRPr="00895EC4">
        <w:t xml:space="preserve"> г. в </w:t>
      </w:r>
      <w:r>
        <w:t>сумме</w:t>
      </w:r>
      <w:r w:rsidRPr="00895EC4">
        <w:t xml:space="preserve"> </w:t>
      </w:r>
      <w:r w:rsidR="009C1066">
        <w:t>3338,7</w:t>
      </w:r>
      <w:r w:rsidR="005C516D">
        <w:t xml:space="preserve"> </w:t>
      </w:r>
      <w:r w:rsidRPr="00895EC4">
        <w:t xml:space="preserve">тыс. руб., что меньше  </w:t>
      </w:r>
      <w:r>
        <w:t xml:space="preserve">ожидаемого исполнения </w:t>
      </w:r>
      <w:r w:rsidRPr="00895EC4">
        <w:t>расходов 20</w:t>
      </w:r>
      <w:r w:rsidR="00AD1D8D">
        <w:t>20</w:t>
      </w:r>
      <w:r w:rsidRPr="00895EC4">
        <w:t xml:space="preserve"> г</w:t>
      </w:r>
      <w:r>
        <w:t>ода</w:t>
      </w:r>
      <w:r w:rsidRPr="00895EC4">
        <w:t xml:space="preserve"> на </w:t>
      </w:r>
      <w:r w:rsidR="009C1066">
        <w:t>184,4</w:t>
      </w:r>
      <w:r>
        <w:t xml:space="preserve"> </w:t>
      </w:r>
      <w:r w:rsidRPr="00895EC4">
        <w:t>тыс.руб. (</w:t>
      </w:r>
      <w:r w:rsidR="003A2337">
        <w:t>-</w:t>
      </w:r>
      <w:r w:rsidR="009C1066">
        <w:t>5,2</w:t>
      </w:r>
      <w:r w:rsidRPr="00895EC4">
        <w:t xml:space="preserve">%). Расходы </w:t>
      </w:r>
      <w:r w:rsidR="00AD1D8D">
        <w:t>на</w:t>
      </w:r>
      <w:r w:rsidRPr="00895EC4">
        <w:t xml:space="preserve"> 20</w:t>
      </w:r>
      <w:r w:rsidR="002116B1">
        <w:t>2</w:t>
      </w:r>
      <w:r w:rsidR="00AD1D8D">
        <w:t>2</w:t>
      </w:r>
      <w:r>
        <w:t>-20</w:t>
      </w:r>
      <w:r w:rsidR="003A2337">
        <w:t>2</w:t>
      </w:r>
      <w:r w:rsidR="00AD1D8D">
        <w:t>3</w:t>
      </w:r>
      <w:r w:rsidRPr="00895EC4">
        <w:t xml:space="preserve"> г</w:t>
      </w:r>
      <w:r>
        <w:t>од</w:t>
      </w:r>
      <w:r w:rsidR="00AD1D8D">
        <w:t>ы</w:t>
      </w:r>
      <w:r w:rsidRPr="00895EC4">
        <w:t xml:space="preserve"> </w:t>
      </w:r>
      <w:r>
        <w:t>установлены</w:t>
      </w:r>
      <w:r w:rsidRPr="00895EC4">
        <w:t xml:space="preserve"> в </w:t>
      </w:r>
      <w:r>
        <w:t>сумме</w:t>
      </w:r>
      <w:r w:rsidRPr="00895EC4">
        <w:t xml:space="preserve"> </w:t>
      </w:r>
      <w:r w:rsidR="009C1066">
        <w:t>3182,9</w:t>
      </w:r>
      <w:r w:rsidR="00C14808">
        <w:t xml:space="preserve"> </w:t>
      </w:r>
      <w:r w:rsidRPr="00895EC4">
        <w:t>тыс. руб</w:t>
      </w:r>
      <w:r w:rsidR="002116B1">
        <w:t xml:space="preserve">лей и </w:t>
      </w:r>
      <w:r w:rsidR="009C1066">
        <w:t>3283,4</w:t>
      </w:r>
      <w:r w:rsidR="002116B1">
        <w:t xml:space="preserve"> тыс. рублей,</w:t>
      </w:r>
      <w:r>
        <w:t xml:space="preserve"> </w:t>
      </w:r>
      <w:r w:rsidR="002116B1">
        <w:t>соответственно</w:t>
      </w:r>
      <w:r w:rsidR="00A315C2">
        <w:t xml:space="preserve">. </w:t>
      </w:r>
    </w:p>
    <w:p w:rsidR="00463AB1" w:rsidRPr="00E82948" w:rsidRDefault="00463AB1" w:rsidP="00463AB1">
      <w:pPr>
        <w:pStyle w:val="1"/>
        <w:spacing w:before="0"/>
        <w:ind w:firstLine="567"/>
        <w:jc w:val="both"/>
        <w:rPr>
          <w:rFonts w:ascii="Times New Roman" w:hAnsi="Times New Roman"/>
          <w:b w:val="0"/>
          <w:bCs w:val="0"/>
          <w:color w:val="auto"/>
          <w:sz w:val="24"/>
          <w:szCs w:val="24"/>
        </w:rPr>
      </w:pPr>
      <w:r w:rsidRPr="00E82948">
        <w:rPr>
          <w:rFonts w:ascii="Times New Roman" w:hAnsi="Times New Roman"/>
          <w:b w:val="0"/>
          <w:bCs w:val="0"/>
          <w:i/>
          <w:color w:val="auto"/>
          <w:sz w:val="24"/>
          <w:szCs w:val="24"/>
        </w:rPr>
        <w:t>По подразделу 0107 «Обеспечение проведения выборов и референдумов»</w:t>
      </w:r>
      <w:r w:rsidRPr="00E82948">
        <w:rPr>
          <w:rFonts w:ascii="Times New Roman" w:hAnsi="Times New Roman"/>
          <w:b w:val="0"/>
          <w:bCs w:val="0"/>
          <w:color w:val="auto"/>
          <w:sz w:val="24"/>
          <w:szCs w:val="24"/>
        </w:rPr>
        <w:t xml:space="preserve"> предусмотрены бюджетные ассигнования в объеме </w:t>
      </w:r>
      <w:r>
        <w:rPr>
          <w:rFonts w:ascii="Times New Roman" w:hAnsi="Times New Roman"/>
          <w:b w:val="0"/>
          <w:bCs w:val="0"/>
          <w:color w:val="auto"/>
          <w:sz w:val="24"/>
          <w:szCs w:val="24"/>
        </w:rPr>
        <w:t>170</w:t>
      </w:r>
      <w:r w:rsidRPr="00E82948">
        <w:rPr>
          <w:rFonts w:ascii="Times New Roman" w:hAnsi="Times New Roman"/>
          <w:b w:val="0"/>
          <w:bCs w:val="0"/>
          <w:color w:val="auto"/>
          <w:sz w:val="24"/>
          <w:szCs w:val="24"/>
        </w:rPr>
        <w:t xml:space="preserve"> тыс. рублей на проведение выборов главы поселения</w:t>
      </w:r>
      <w:r>
        <w:rPr>
          <w:rFonts w:ascii="Times New Roman" w:hAnsi="Times New Roman"/>
          <w:b w:val="0"/>
          <w:bCs w:val="0"/>
          <w:color w:val="auto"/>
          <w:sz w:val="24"/>
          <w:szCs w:val="24"/>
        </w:rPr>
        <w:t xml:space="preserve"> в 2022 году</w:t>
      </w:r>
      <w:r w:rsidRPr="00E82948">
        <w:rPr>
          <w:rFonts w:ascii="Times New Roman" w:hAnsi="Times New Roman"/>
          <w:b w:val="0"/>
          <w:bCs w:val="0"/>
          <w:color w:val="auto"/>
          <w:sz w:val="24"/>
          <w:szCs w:val="24"/>
        </w:rPr>
        <w:t>.</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9A5EB2">
        <w:rPr>
          <w:rFonts w:ascii="Times New Roman" w:hAnsi="Times New Roman"/>
          <w:bCs/>
        </w:rPr>
        <w:t>Знаменского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w:t>
      </w:r>
      <w:r w:rsidR="008C700D">
        <w:rPr>
          <w:rFonts w:ascii="Times New Roman" w:hAnsi="Times New Roman"/>
        </w:rPr>
        <w:t>1</w:t>
      </w:r>
      <w:r w:rsidR="00A315C2">
        <w:rPr>
          <w:rFonts w:ascii="Times New Roman" w:hAnsi="Times New Roman"/>
        </w:rPr>
        <w:t xml:space="preserve"> год и на плановый период 202</w:t>
      </w:r>
      <w:r w:rsidR="008C700D">
        <w:rPr>
          <w:rFonts w:ascii="Times New Roman" w:hAnsi="Times New Roman"/>
        </w:rPr>
        <w:t>2</w:t>
      </w:r>
      <w:r>
        <w:rPr>
          <w:rFonts w:ascii="Times New Roman" w:hAnsi="Times New Roman"/>
        </w:rPr>
        <w:t>-20</w:t>
      </w:r>
      <w:r w:rsidR="003A2337">
        <w:rPr>
          <w:rFonts w:ascii="Times New Roman" w:hAnsi="Times New Roman"/>
        </w:rPr>
        <w:t>2</w:t>
      </w:r>
      <w:r w:rsidR="008C700D">
        <w:rPr>
          <w:rFonts w:ascii="Times New Roman" w:hAnsi="Times New Roman"/>
        </w:rPr>
        <w:t>3</w:t>
      </w:r>
      <w:r>
        <w:rPr>
          <w:rFonts w:ascii="Times New Roman" w:hAnsi="Times New Roman"/>
        </w:rPr>
        <w:t xml:space="preserve"> годов </w:t>
      </w:r>
      <w:r w:rsidRPr="000A7F43">
        <w:rPr>
          <w:rFonts w:ascii="Times New Roman" w:hAnsi="Times New Roman"/>
        </w:rPr>
        <w:t xml:space="preserve">в сумме </w:t>
      </w:r>
      <w:r w:rsidR="00F02B6C">
        <w:rPr>
          <w:rFonts w:ascii="Times New Roman" w:hAnsi="Times New Roman"/>
        </w:rPr>
        <w:t>12</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не превыша</w:t>
      </w:r>
      <w:r w:rsidR="008C700D">
        <w:rPr>
          <w:rFonts w:ascii="Times New Roman" w:hAnsi="Times New Roman" w:cs="Times New Roman"/>
        </w:rPr>
        <w:t>е</w:t>
      </w:r>
      <w:r w:rsidR="00A315C2" w:rsidRPr="00A315C2">
        <w:rPr>
          <w:rFonts w:ascii="Times New Roman" w:hAnsi="Times New Roman" w:cs="Times New Roman"/>
        </w:rPr>
        <w:t xml:space="preserve">т </w:t>
      </w:r>
      <w:r w:rsidR="00A315C2">
        <w:rPr>
          <w:rFonts w:ascii="Times New Roman" w:hAnsi="Times New Roman" w:cs="Times New Roman"/>
        </w:rPr>
        <w:t>тр</w:t>
      </w:r>
      <w:r w:rsidR="008C700D">
        <w:rPr>
          <w:rFonts w:ascii="Times New Roman" w:hAnsi="Times New Roman" w:cs="Times New Roman"/>
        </w:rPr>
        <w:t>ех</w:t>
      </w:r>
      <w:r w:rsidR="00A315C2" w:rsidRPr="00A315C2">
        <w:rPr>
          <w:rFonts w:ascii="Times New Roman" w:hAnsi="Times New Roman" w:cs="Times New Roman"/>
        </w:rPr>
        <w:t xml:space="preserve"> процент</w:t>
      </w:r>
      <w:r w:rsidR="008C700D">
        <w:rPr>
          <w:rFonts w:ascii="Times New Roman" w:hAnsi="Times New Roman" w:cs="Times New Roman"/>
        </w:rPr>
        <w:t>ов</w:t>
      </w:r>
      <w:r w:rsidR="00A315C2" w:rsidRPr="00A315C2">
        <w:rPr>
          <w:rFonts w:ascii="Times New Roman" w:hAnsi="Times New Roman" w:cs="Times New Roman"/>
        </w:rPr>
        <w:t xml:space="preserve">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w:t>
      </w:r>
      <w:r w:rsidR="00D53E8F">
        <w:t>1</w:t>
      </w:r>
      <w:r w:rsidR="008A5EBB">
        <w:t>-202</w:t>
      </w:r>
      <w:r w:rsidR="00D53E8F">
        <w:t>3</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w:t>
      </w:r>
      <w:r w:rsidR="00D53E8F">
        <w:t xml:space="preserve">исполнения </w:t>
      </w:r>
      <w:r>
        <w:t>20</w:t>
      </w:r>
      <w:r w:rsidR="00D53E8F">
        <w:t>20</w:t>
      </w:r>
      <w:r>
        <w:t xml:space="preserve"> года</w:t>
      </w:r>
      <w:r w:rsidRPr="00DD256E">
        <w:rPr>
          <w:bCs/>
        </w:rPr>
        <w:t>.</w:t>
      </w:r>
    </w:p>
    <w:p w:rsidR="005944C6" w:rsidRPr="00895EC4" w:rsidRDefault="001B27EA" w:rsidP="005944C6">
      <w:pPr>
        <w:widowControl w:val="0"/>
        <w:numPr>
          <w:ilvl w:val="12"/>
          <w:numId w:val="0"/>
        </w:numPr>
        <w:ind w:firstLine="567"/>
        <w:jc w:val="both"/>
      </w:pPr>
      <w:r w:rsidRPr="001B27EA">
        <w:rPr>
          <w:u w:val="single"/>
        </w:rPr>
        <w:t>По р</w:t>
      </w:r>
      <w:r w:rsidRPr="001B27EA">
        <w:rPr>
          <w:bCs/>
          <w:u w:val="single"/>
        </w:rPr>
        <w:t>азделу 02</w:t>
      </w:r>
      <w:r w:rsidR="00525343">
        <w:rPr>
          <w:bCs/>
          <w:u w:val="single"/>
        </w:rPr>
        <w:t>00</w:t>
      </w:r>
      <w:r w:rsidRPr="001B27EA">
        <w:rPr>
          <w:bCs/>
          <w:u w:val="single"/>
        </w:rPr>
        <w:t xml:space="preserve">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w:t>
      </w:r>
      <w:r w:rsidR="003159BC">
        <w:t>1</w:t>
      </w:r>
      <w:r w:rsidR="005944C6" w:rsidRPr="00595634">
        <w:t xml:space="preserve"> г. установлены в объеме </w:t>
      </w:r>
      <w:r w:rsidR="003159BC">
        <w:t>137,3</w:t>
      </w:r>
      <w:r w:rsidR="005944C6" w:rsidRPr="00595634">
        <w:t xml:space="preserve"> тыс.руб., что на </w:t>
      </w:r>
      <w:r w:rsidR="003159BC">
        <w:t>3,2</w:t>
      </w:r>
      <w:r w:rsidR="005944C6" w:rsidRPr="00595634">
        <w:t xml:space="preserve"> тыс.руб. </w:t>
      </w:r>
      <w:r w:rsidR="005944C6">
        <w:t>(+</w:t>
      </w:r>
      <w:r w:rsidR="003159BC">
        <w:t>2,4</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w:t>
      </w:r>
      <w:r w:rsidR="003159BC">
        <w:t>20</w:t>
      </w:r>
      <w:r w:rsidR="005944C6" w:rsidRPr="00595634">
        <w:t xml:space="preserve"> г. Данные расходы составляют </w:t>
      </w:r>
      <w:r w:rsidR="009C1066">
        <w:t>1,5</w:t>
      </w:r>
      <w:r w:rsidR="005944C6" w:rsidRPr="00595634">
        <w:t xml:space="preserve">% от общей суммы расходов </w:t>
      </w:r>
      <w:r w:rsidR="005944C6">
        <w:t xml:space="preserve">местного </w:t>
      </w:r>
      <w:r w:rsidR="005944C6" w:rsidRPr="00595634">
        <w:t>бюджета на 20</w:t>
      </w:r>
      <w:r w:rsidR="005944C6">
        <w:t>2</w:t>
      </w:r>
      <w:r w:rsidR="003159BC">
        <w:t>1</w:t>
      </w:r>
      <w:r w:rsidR="005944C6" w:rsidRPr="00595634">
        <w:t xml:space="preserve"> г.</w:t>
      </w:r>
      <w:r w:rsidR="005944C6" w:rsidRPr="00895EC4">
        <w:t xml:space="preserve"> Расходы </w:t>
      </w:r>
      <w:r w:rsidR="005944C6">
        <w:t>на</w:t>
      </w:r>
      <w:r w:rsidR="005944C6" w:rsidRPr="00895EC4">
        <w:t xml:space="preserve"> 20</w:t>
      </w:r>
      <w:r w:rsidR="005944C6">
        <w:t>2</w:t>
      </w:r>
      <w:r w:rsidR="003159BC">
        <w:t>2-2023</w:t>
      </w:r>
      <w:r w:rsidR="005944C6">
        <w:t xml:space="preserve">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3159BC">
        <w:t>138,8</w:t>
      </w:r>
      <w:r w:rsidR="005944C6" w:rsidRPr="00895EC4">
        <w:t xml:space="preserve"> тыс.руб.</w:t>
      </w:r>
      <w:r w:rsidR="005944C6">
        <w:t xml:space="preserve"> и </w:t>
      </w:r>
      <w:r w:rsidR="003159BC">
        <w:t>144,5 тыс. рублей, соответственно</w:t>
      </w:r>
      <w:r w:rsidR="005944C6">
        <w:t>.</w:t>
      </w:r>
      <w:r w:rsidR="005944C6" w:rsidRPr="00895EC4">
        <w:t xml:space="preserve"> </w:t>
      </w:r>
    </w:p>
    <w:p w:rsidR="00745D94" w:rsidRDefault="00745D94" w:rsidP="00A5643D">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Pr>
          <w:u w:val="single"/>
        </w:rPr>
        <w:t xml:space="preserve"> </w:t>
      </w:r>
      <w:r w:rsidR="009520B1" w:rsidRPr="00576122">
        <w:rPr>
          <w:u w:val="single"/>
        </w:rPr>
        <w:t>подразделу 0409 «Дорожное хозяйство (дорожные фонды)»</w:t>
      </w:r>
      <w:r w:rsidR="002E1E04" w:rsidRPr="002E1E04">
        <w:t xml:space="preserve"> на </w:t>
      </w:r>
      <w:r w:rsidR="002E1E04" w:rsidRPr="00595634">
        <w:t>20</w:t>
      </w:r>
      <w:r w:rsidR="002E1E04">
        <w:t>2</w:t>
      </w:r>
      <w:r w:rsidR="009520B1">
        <w:t>1</w:t>
      </w:r>
      <w:r w:rsidR="002E1E04" w:rsidRPr="00595634">
        <w:t xml:space="preserve"> г. установлены в объеме </w:t>
      </w:r>
      <w:r w:rsidR="009C1066">
        <w:t>444,9</w:t>
      </w:r>
      <w:r w:rsidR="002E1E04" w:rsidRPr="00595634">
        <w:t xml:space="preserve"> тыс.руб., что на </w:t>
      </w:r>
      <w:r w:rsidR="009C1066">
        <w:t>2392,5</w:t>
      </w:r>
      <w:r w:rsidR="002E1E04" w:rsidRPr="00595634">
        <w:t xml:space="preserve"> тыс.руб. </w:t>
      </w:r>
      <w:r w:rsidR="002E1E04">
        <w:t>(</w:t>
      </w:r>
      <w:r w:rsidR="009C1066">
        <w:t>-84,3</w:t>
      </w:r>
      <w:r w:rsidR="009520B1">
        <w:t>%</w:t>
      </w:r>
      <w:r w:rsidR="002E1E04" w:rsidRPr="00595634">
        <w:t xml:space="preserve">) </w:t>
      </w:r>
      <w:r w:rsidR="009C1066">
        <w:t>меньше</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20</w:t>
      </w:r>
      <w:r w:rsidR="002E1E04" w:rsidRPr="00595634">
        <w:t xml:space="preserve"> г. Данные расходы составляют </w:t>
      </w:r>
      <w:r w:rsidR="009C1066">
        <w:t>4,7</w:t>
      </w:r>
      <w:r w:rsidR="002E1E04" w:rsidRPr="00595634">
        <w:t xml:space="preserve">% от общей суммы расходов </w:t>
      </w:r>
      <w:r w:rsidR="002E1E04">
        <w:t xml:space="preserve">местного </w:t>
      </w:r>
      <w:r w:rsidR="002E1E04" w:rsidRPr="00595634">
        <w:t>бюджета на 20</w:t>
      </w:r>
      <w:r w:rsidR="002E1E04">
        <w:t>2</w:t>
      </w:r>
      <w:r w:rsidR="0034478D">
        <w:t>1</w:t>
      </w:r>
      <w:r w:rsidR="002E1E04" w:rsidRPr="00595634">
        <w:t xml:space="preserve"> г.</w:t>
      </w:r>
      <w:r w:rsidR="002E1E04" w:rsidRPr="00895EC4">
        <w:t xml:space="preserve"> Расходы </w:t>
      </w:r>
      <w:r w:rsidR="002E1E04">
        <w:t>на</w:t>
      </w:r>
      <w:r w:rsidR="002E1E04" w:rsidRPr="00895EC4">
        <w:t xml:space="preserve"> 20</w:t>
      </w:r>
      <w:r w:rsidR="002E1E04">
        <w:t>2</w:t>
      </w:r>
      <w:r w:rsidR="0034478D">
        <w:t>2</w:t>
      </w:r>
      <w:r w:rsidR="002E1E04">
        <w:t>-202</w:t>
      </w:r>
      <w:r w:rsidR="0034478D">
        <w:t>3</w:t>
      </w:r>
      <w:r w:rsidR="002E1E04">
        <w:t xml:space="preserve">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9C1066">
        <w:t>463</w:t>
      </w:r>
      <w:r w:rsidR="002E1E04" w:rsidRPr="00895EC4">
        <w:t xml:space="preserve"> тыс.руб.</w:t>
      </w:r>
      <w:r w:rsidR="002E1E04">
        <w:t xml:space="preserve"> и </w:t>
      </w:r>
      <w:r w:rsidR="009C1066">
        <w:t>492,8</w:t>
      </w:r>
      <w:r w:rsidR="0034478D">
        <w:t xml:space="preserve"> тыс. рублей, соответственно</w:t>
      </w:r>
      <w:r w:rsidR="002E1E04">
        <w:t>.</w:t>
      </w:r>
      <w:r w:rsidR="002E1E04" w:rsidRPr="00895EC4">
        <w:t xml:space="preserve"> </w:t>
      </w:r>
    </w:p>
    <w:p w:rsidR="00686034" w:rsidRDefault="00C36174" w:rsidP="00686034">
      <w:pPr>
        <w:autoSpaceDE w:val="0"/>
        <w:autoSpaceDN w:val="0"/>
        <w:adjustRightInd w:val="0"/>
        <w:ind w:firstLine="567"/>
        <w:jc w:val="both"/>
      </w:pPr>
      <w:r>
        <w:t>Расходы запланированы в рамках реализации мероприятий муниципальн</w:t>
      </w:r>
      <w:r w:rsidR="00686034">
        <w:t>ой</w:t>
      </w:r>
      <w:r>
        <w:t xml:space="preserve"> программ</w:t>
      </w:r>
      <w:r w:rsidR="00686034">
        <w:t>ы</w:t>
      </w:r>
      <w:r>
        <w:rPr>
          <w:snapToGrid w:val="0"/>
          <w:szCs w:val="28"/>
        </w:rPr>
        <w:t xml:space="preserve"> </w:t>
      </w:r>
      <w:r w:rsidR="00A5643D">
        <w:rPr>
          <w:snapToGrid w:val="0"/>
          <w:szCs w:val="28"/>
        </w:rPr>
        <w:t>к</w:t>
      </w:r>
      <w:r>
        <w:rPr>
          <w:snapToGrid w:val="0"/>
          <w:szCs w:val="28"/>
        </w:rPr>
        <w:t>омплексно</w:t>
      </w:r>
      <w:r w:rsidR="00A5643D">
        <w:rPr>
          <w:snapToGrid w:val="0"/>
          <w:szCs w:val="28"/>
        </w:rPr>
        <w:t>го</w:t>
      </w:r>
      <w:r>
        <w:rPr>
          <w:snapToGrid w:val="0"/>
          <w:szCs w:val="28"/>
        </w:rPr>
        <w:t xml:space="preserve"> развити</w:t>
      </w:r>
      <w:r w:rsidR="00A5643D">
        <w:rPr>
          <w:snapToGrid w:val="0"/>
          <w:szCs w:val="28"/>
        </w:rPr>
        <w:t>я</w:t>
      </w:r>
      <w:r>
        <w:rPr>
          <w:snapToGrid w:val="0"/>
          <w:szCs w:val="28"/>
        </w:rPr>
        <w:t xml:space="preserve"> систем транспортной инфраструктуры на территории </w:t>
      </w:r>
      <w:r w:rsidR="009A5EB2">
        <w:rPr>
          <w:snapToGrid w:val="0"/>
          <w:szCs w:val="28"/>
        </w:rPr>
        <w:t>Знаменского</w:t>
      </w:r>
      <w:r>
        <w:rPr>
          <w:snapToGrid w:val="0"/>
          <w:szCs w:val="28"/>
        </w:rPr>
        <w:t xml:space="preserve"> сельского поселения Жигаловского района Иркутской области на </w:t>
      </w:r>
      <w:r w:rsidRPr="009D0FAD">
        <w:rPr>
          <w:snapToGrid w:val="0"/>
          <w:szCs w:val="28"/>
        </w:rPr>
        <w:t>201</w:t>
      </w:r>
      <w:r>
        <w:rPr>
          <w:snapToGrid w:val="0"/>
          <w:szCs w:val="28"/>
        </w:rPr>
        <w:t>8</w:t>
      </w:r>
      <w:r w:rsidRPr="009D0FAD">
        <w:rPr>
          <w:snapToGrid w:val="0"/>
          <w:szCs w:val="28"/>
        </w:rPr>
        <w:t>-20</w:t>
      </w:r>
      <w:r>
        <w:rPr>
          <w:snapToGrid w:val="0"/>
          <w:szCs w:val="28"/>
        </w:rPr>
        <w:t>31</w:t>
      </w:r>
      <w:r w:rsidRPr="009D0FAD">
        <w:rPr>
          <w:snapToGrid w:val="0"/>
          <w:szCs w:val="28"/>
        </w:rPr>
        <w:t xml:space="preserve"> годы </w:t>
      </w:r>
      <w:r w:rsidR="00686034">
        <w:rPr>
          <w:snapToGrid w:val="0"/>
          <w:szCs w:val="28"/>
        </w:rPr>
        <w:t xml:space="preserve">в </w:t>
      </w:r>
      <w:r w:rsidR="00686034" w:rsidRPr="00686034">
        <w:t>соответств</w:t>
      </w:r>
      <w:r w:rsidR="00686034">
        <w:t>ии с</w:t>
      </w:r>
      <w:r w:rsidR="00686034" w:rsidRPr="00686034">
        <w:t xml:space="preserve"> объемам</w:t>
      </w:r>
      <w:r w:rsidR="00686034">
        <w:t>и</w:t>
      </w:r>
      <w:r w:rsidR="00686034" w:rsidRPr="00686034">
        <w:t xml:space="preserve"> финансирования, утвержденным</w:t>
      </w:r>
      <w:r w:rsidR="00686034">
        <w:t>и</w:t>
      </w:r>
      <w:r w:rsidR="00686034" w:rsidRPr="00686034">
        <w:t xml:space="preserve"> паспорт</w:t>
      </w:r>
      <w:r w:rsidR="00686034">
        <w:t>ом</w:t>
      </w:r>
      <w:r w:rsidR="00686034" w:rsidRPr="00686034">
        <w:t xml:space="preserve"> </w:t>
      </w:r>
      <w:r w:rsidR="00686034">
        <w:t xml:space="preserve">данной </w:t>
      </w:r>
      <w:r w:rsidR="00686034" w:rsidRPr="00686034">
        <w:t>муниципальной программы  (на 20</w:t>
      </w:r>
      <w:r w:rsidR="00686034">
        <w:t>2</w:t>
      </w:r>
      <w:r w:rsidR="00A5643D">
        <w:t>1</w:t>
      </w:r>
      <w:r w:rsidR="00686034" w:rsidRPr="00686034">
        <w:t xml:space="preserve">г. – </w:t>
      </w:r>
      <w:r w:rsidR="00A5643D">
        <w:t>741,5</w:t>
      </w:r>
      <w:r w:rsidR="00686034" w:rsidRPr="00686034">
        <w:t xml:space="preserve"> тыс. руб., на 202</w:t>
      </w:r>
      <w:r w:rsidR="00A5643D">
        <w:t>2</w:t>
      </w:r>
      <w:r w:rsidR="00686034" w:rsidRPr="00686034">
        <w:t xml:space="preserve">г. – </w:t>
      </w:r>
      <w:r w:rsidR="00A5643D">
        <w:t>771,6</w:t>
      </w:r>
      <w:r w:rsidR="00686034" w:rsidRPr="00686034">
        <w:t xml:space="preserve"> тыс. руб., на 202</w:t>
      </w:r>
      <w:r w:rsidR="00A5643D">
        <w:t>3</w:t>
      </w:r>
      <w:r w:rsidR="00686034" w:rsidRPr="00686034">
        <w:t xml:space="preserve">г. – </w:t>
      </w:r>
      <w:r w:rsidR="00A5643D">
        <w:t>821,4</w:t>
      </w:r>
      <w:r w:rsidR="00686034" w:rsidRPr="00686034">
        <w:t xml:space="preserve"> тыс. руб.)</w:t>
      </w:r>
      <w:r w:rsidR="009A17AB">
        <w:t xml:space="preserve"> в целях развития современной и эффективной транспортной инфраструктуры, повышения уровня безопасности движения.</w:t>
      </w:r>
      <w:r w:rsidR="00686034">
        <w:t xml:space="preserve"> </w:t>
      </w:r>
    </w:p>
    <w:p w:rsidR="009C1066" w:rsidRDefault="009C1066" w:rsidP="009C1066">
      <w:pPr>
        <w:widowControl w:val="0"/>
        <w:numPr>
          <w:ilvl w:val="12"/>
          <w:numId w:val="0"/>
        </w:numPr>
        <w:ind w:firstLine="567"/>
        <w:jc w:val="both"/>
        <w:rPr>
          <w:i/>
        </w:rPr>
      </w:pPr>
      <w:r>
        <w:t xml:space="preserve">Расходы за счет средств муниципального дорожного фонда планируется направить на ремонт и содержание автомобильных дорог общего пользования местного значения. </w:t>
      </w:r>
    </w:p>
    <w:p w:rsidR="00745D94" w:rsidRDefault="00425074" w:rsidP="00425074">
      <w:pPr>
        <w:pStyle w:val="a9"/>
        <w:spacing w:after="0"/>
        <w:ind w:left="0"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установлены на 20</w:t>
      </w:r>
      <w:r w:rsidR="00000501">
        <w:t>2</w:t>
      </w:r>
      <w:r w:rsidR="00B246DB">
        <w:t>1</w:t>
      </w:r>
      <w:r w:rsidR="00745D94" w:rsidRPr="000D1B29">
        <w:t xml:space="preserve"> г. в сумме </w:t>
      </w:r>
      <w:r w:rsidR="001A0F01">
        <w:t>57,7</w:t>
      </w:r>
      <w:r w:rsidR="00745D94" w:rsidRPr="000D1B29">
        <w:t xml:space="preserve"> тыс.руб., </w:t>
      </w:r>
      <w:r w:rsidR="000D1B29">
        <w:t>с</w:t>
      </w:r>
      <w:r>
        <w:t>о</w:t>
      </w:r>
      <w:r w:rsidR="000D1B29">
        <w:t xml:space="preserve"> </w:t>
      </w:r>
      <w:r>
        <w:t>снижением</w:t>
      </w:r>
      <w:r w:rsidR="00745D94" w:rsidRPr="000D1B29">
        <w:t xml:space="preserve"> на </w:t>
      </w:r>
      <w:r w:rsidR="001A0F01">
        <w:t>400,2</w:t>
      </w:r>
      <w:r w:rsidR="00745D94" w:rsidRPr="000D1B29">
        <w:t xml:space="preserve"> тыс. руб. (</w:t>
      </w:r>
      <w:r>
        <w:t>-</w:t>
      </w:r>
      <w:r w:rsidR="001A0F01">
        <w:t>87,4</w:t>
      </w:r>
      <w:r w:rsidR="00745D94" w:rsidRPr="000D1B29">
        <w:t xml:space="preserve">%) </w:t>
      </w:r>
      <w:r w:rsidR="005B7693">
        <w:t>к оценке</w:t>
      </w:r>
      <w:r w:rsidR="00745D94" w:rsidRPr="000D1B29">
        <w:t xml:space="preserve"> исполнения в 20</w:t>
      </w:r>
      <w:r w:rsidR="00B246DB">
        <w:t>20</w:t>
      </w:r>
      <w:r w:rsidR="00745D94" w:rsidRPr="000D1B29">
        <w:t xml:space="preserve"> году. Данные расходы составляют </w:t>
      </w:r>
      <w:r w:rsidR="001A0F01">
        <w:t>0,6</w:t>
      </w:r>
      <w:r w:rsidR="00745D94" w:rsidRPr="000D1B29">
        <w:t>% от общей суммы</w:t>
      </w:r>
      <w:r w:rsidR="00745D94" w:rsidRPr="00895EC4">
        <w:t xml:space="preserve"> расходов </w:t>
      </w:r>
      <w:r w:rsidR="00745D94">
        <w:t xml:space="preserve">местного </w:t>
      </w:r>
      <w:r w:rsidR="00745D94" w:rsidRPr="00895EC4">
        <w:t>бюджета на 20</w:t>
      </w:r>
      <w:r w:rsidR="00000501">
        <w:t>2</w:t>
      </w:r>
      <w:r w:rsidR="00B246DB">
        <w:t>1</w:t>
      </w:r>
      <w:r w:rsidR="00745D94" w:rsidRPr="00895EC4">
        <w:t xml:space="preserve"> г</w:t>
      </w:r>
      <w:r w:rsidR="00745D94">
        <w:t>од</w:t>
      </w:r>
      <w:r w:rsidR="00745D94" w:rsidRPr="00895EC4">
        <w:t>.</w:t>
      </w:r>
      <w:r w:rsidR="00745D94">
        <w:t xml:space="preserve"> Расходы на </w:t>
      </w:r>
      <w:r w:rsidR="001A0F01" w:rsidRPr="00895EC4">
        <w:t>20</w:t>
      </w:r>
      <w:r w:rsidR="001A0F01">
        <w:t xml:space="preserve">22г. – не установлены, </w:t>
      </w:r>
      <w:r w:rsidR="00542D98">
        <w:t xml:space="preserve">на </w:t>
      </w:r>
      <w:r w:rsidR="0043461A">
        <w:t>202</w:t>
      </w:r>
      <w:r w:rsidR="00B246DB">
        <w:t>3</w:t>
      </w:r>
      <w:r w:rsidR="00745D94" w:rsidRPr="00895EC4">
        <w:t xml:space="preserve"> г</w:t>
      </w:r>
      <w:r w:rsidR="00745D94">
        <w:t xml:space="preserve">од установлены в сумме </w:t>
      </w:r>
      <w:r w:rsidR="00542D98">
        <w:t>45</w:t>
      </w:r>
      <w:r w:rsidR="00745D94">
        <w:t xml:space="preserve"> тыс. руб.</w:t>
      </w:r>
      <w:r w:rsidR="001A0F01" w:rsidRPr="001A0F01">
        <w:t xml:space="preserve"> </w:t>
      </w:r>
    </w:p>
    <w:p w:rsidR="006D1C97" w:rsidRPr="00895EC4" w:rsidRDefault="00745D94" w:rsidP="006D1C97">
      <w:pPr>
        <w:autoSpaceDE w:val="0"/>
        <w:autoSpaceDN w:val="0"/>
        <w:adjustRightInd w:val="0"/>
        <w:ind w:firstLine="567"/>
        <w:jc w:val="both"/>
      </w:pPr>
      <w:r w:rsidRPr="00CA576D">
        <w:t xml:space="preserve">В данном </w:t>
      </w:r>
      <w:r w:rsidR="000F76D5">
        <w:t>под</w:t>
      </w:r>
      <w:r w:rsidRPr="00CA576D">
        <w:t>разделе учтены расходы</w:t>
      </w:r>
      <w:r w:rsidR="000F76D5">
        <w:t xml:space="preserve"> </w:t>
      </w:r>
      <w:r w:rsidR="00B20F12">
        <w:t>в целях оплаты электроэнергии</w:t>
      </w:r>
      <w:r w:rsidR="004F742F">
        <w:t xml:space="preserve"> уличного освещения</w:t>
      </w:r>
      <w:r w:rsidR="00B20F12">
        <w:t>, вывоз ТБО</w:t>
      </w:r>
      <w:r w:rsidR="006D1C97">
        <w:t xml:space="preserve"> и</w:t>
      </w:r>
      <w:r w:rsidR="00535EF4">
        <w:t xml:space="preserve"> другие мероприятия</w:t>
      </w:r>
      <w:r w:rsidR="00B20F12">
        <w:t xml:space="preserve"> </w:t>
      </w:r>
      <w:r w:rsidR="00535EF4">
        <w:t>по</w:t>
      </w:r>
      <w:r w:rsidR="000F76D5">
        <w:t xml:space="preserve"> </w:t>
      </w:r>
      <w:r w:rsidR="000E6383">
        <w:t>благоустройств</w:t>
      </w:r>
      <w:r w:rsidR="00535EF4">
        <w:t>у</w:t>
      </w:r>
      <w:r w:rsidR="006D1C97">
        <w:t>, а также на реализацию мероприятий муниципальной программы «Комплексное развитие сельских территорий Знаменского МО на 2020-2026 г.г.» на 2021 год в сумме 47,7 тыс. руб.</w:t>
      </w:r>
    </w:p>
    <w:p w:rsidR="00973EAE" w:rsidRDefault="0017693E" w:rsidP="00973EAE">
      <w:pPr>
        <w:autoSpaceDE w:val="0"/>
        <w:autoSpaceDN w:val="0"/>
        <w:adjustRightInd w:val="0"/>
        <w:ind w:firstLine="567"/>
        <w:jc w:val="both"/>
      </w:pPr>
      <w:r w:rsidRPr="0017693E">
        <w:t>В проекте бюджета на  20</w:t>
      </w:r>
      <w:r w:rsidR="000E6383">
        <w:t>2</w:t>
      </w:r>
      <w:r w:rsidR="00732BBC">
        <w:t>1</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BC1B6E">
        <w:t>3494,3</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20</w:t>
      </w:r>
      <w:r w:rsidRPr="00096BA2">
        <w:t xml:space="preserve">г. на </w:t>
      </w:r>
      <w:r w:rsidR="00BC1B6E">
        <w:t>532</w:t>
      </w:r>
      <w:r w:rsidRPr="00096BA2">
        <w:t xml:space="preserve"> тыс.руб. (</w:t>
      </w:r>
      <w:r>
        <w:t>-</w:t>
      </w:r>
      <w:r w:rsidR="00BC1B6E">
        <w:t>13,2</w:t>
      </w:r>
      <w:r w:rsidRPr="00096BA2">
        <w:t xml:space="preserve">%). </w:t>
      </w:r>
      <w:r w:rsidR="000E6383">
        <w:t xml:space="preserve">Расходы на </w:t>
      </w:r>
      <w:r w:rsidR="000E6383" w:rsidRPr="00895EC4">
        <w:t>20</w:t>
      </w:r>
      <w:r w:rsidR="000E6383">
        <w:t>2</w:t>
      </w:r>
      <w:r w:rsidR="00732BBC">
        <w:t>2</w:t>
      </w:r>
      <w:r w:rsidR="000E6383">
        <w:t>-202</w:t>
      </w:r>
      <w:r w:rsidR="00732BBC">
        <w:t>3</w:t>
      </w:r>
      <w:r w:rsidR="000E6383" w:rsidRPr="00895EC4">
        <w:t xml:space="preserve"> г</w:t>
      </w:r>
      <w:r w:rsidR="000E6383">
        <w:t xml:space="preserve">оды установлены в сумме </w:t>
      </w:r>
      <w:r w:rsidR="00BC1B6E">
        <w:t>2934,6</w:t>
      </w:r>
      <w:r w:rsidR="000E6383">
        <w:t xml:space="preserve"> тыс. руб. и в сумме </w:t>
      </w:r>
      <w:r w:rsidR="00BC1B6E">
        <w:t>2526,6</w:t>
      </w:r>
      <w:r w:rsidR="000E6383">
        <w:t xml:space="preserve"> тыс. руб., соответственно.</w:t>
      </w:r>
      <w:r w:rsidR="00DE6478">
        <w:t xml:space="preserve"> </w:t>
      </w:r>
    </w:p>
    <w:p w:rsidR="00973EAE" w:rsidRPr="00895EC4" w:rsidRDefault="00973EAE" w:rsidP="00973EAE">
      <w:pPr>
        <w:autoSpaceDE w:val="0"/>
        <w:autoSpaceDN w:val="0"/>
        <w:adjustRightInd w:val="0"/>
        <w:ind w:firstLine="567"/>
        <w:jc w:val="both"/>
      </w:pPr>
      <w:r>
        <w:t>По</w:t>
      </w:r>
      <w:r w:rsidRPr="00CA576D">
        <w:t xml:space="preserve"> </w:t>
      </w:r>
      <w:r>
        <w:t>под</w:t>
      </w:r>
      <w:r w:rsidRPr="00CA576D">
        <w:t>раздел</w:t>
      </w:r>
      <w:r>
        <w:t>у «Культура», в том числе,</w:t>
      </w:r>
      <w:r w:rsidRPr="00CA576D">
        <w:t xml:space="preserve"> учтены расходы</w:t>
      </w:r>
      <w:r>
        <w:t xml:space="preserve"> на реализацию мероприятий перечня проектов народных инициатив на 202</w:t>
      </w:r>
      <w:r w:rsidR="00CF6F2E">
        <w:t>1</w:t>
      </w:r>
      <w:r>
        <w:t>-202</w:t>
      </w:r>
      <w:r w:rsidR="00CF6F2E">
        <w:t>3</w:t>
      </w:r>
      <w:r>
        <w:t xml:space="preserve"> годы в сумме </w:t>
      </w:r>
      <w:r w:rsidR="00BC1B6E">
        <w:t>204</w:t>
      </w:r>
      <w:r>
        <w:t xml:space="preserve"> тыс. руб. ежегодно</w:t>
      </w:r>
      <w:r w:rsidR="00310260">
        <w:t>; на реализацию мероприятий муниципальной программы «Комплексное развитие сельских территорий Знаменского МО на 2020-2026 г.г.» на 2021-2023 годы в сумме 26,1 тыс. руб. ежегодно</w:t>
      </w:r>
      <w:r>
        <w:t>.</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9C0446">
        <w:t>37</w:t>
      </w:r>
      <w:r w:rsidR="00CF6F2E">
        <w:t>,1</w:t>
      </w:r>
      <w:r w:rsidRPr="00895EC4">
        <w:t xml:space="preserve">% от общей суммы расходов </w:t>
      </w:r>
      <w:r>
        <w:t>местного</w:t>
      </w:r>
      <w:r w:rsidRPr="00895EC4">
        <w:t xml:space="preserve"> бюджета на 20</w:t>
      </w:r>
      <w:r w:rsidR="000E6383">
        <w:t>2</w:t>
      </w:r>
      <w:r w:rsidR="00CF6F2E">
        <w:t>1</w:t>
      </w:r>
      <w:r w:rsidRPr="00895EC4">
        <w:t xml:space="preserve"> г</w:t>
      </w:r>
      <w:r>
        <w:t>од.</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CB5BA2"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w:t>
      </w:r>
      <w:r w:rsidR="00A26B13">
        <w:t>ы</w:t>
      </w:r>
      <w:r w:rsidRPr="00FE0F2B">
        <w:t>м служащ</w:t>
      </w:r>
      <w:r w:rsidR="00A26B13">
        <w:t>и</w:t>
      </w:r>
      <w:r w:rsidRPr="00FE0F2B">
        <w:t>м</w:t>
      </w:r>
      <w:r w:rsidRPr="00895EC4">
        <w:t xml:space="preserve"> на 20</w:t>
      </w:r>
      <w:r w:rsidR="00CB5BA2">
        <w:t>2</w:t>
      </w:r>
      <w:r w:rsidR="00CF6F2E">
        <w:t>1</w:t>
      </w:r>
      <w:r w:rsidR="00CB5BA2">
        <w:t>г.</w:t>
      </w:r>
      <w:r w:rsidRPr="00895EC4">
        <w:t xml:space="preserve"> в сумме </w:t>
      </w:r>
      <w:r w:rsidR="00CF6F2E">
        <w:t>120</w:t>
      </w:r>
      <w:r w:rsidRPr="00895EC4">
        <w:t xml:space="preserve"> тыс.руб.</w:t>
      </w:r>
      <w:r w:rsidR="00CB5BA2">
        <w:t>,</w:t>
      </w:r>
      <w:r w:rsidR="00CB5BA2" w:rsidRPr="00CB5BA2">
        <w:t xml:space="preserve"> </w:t>
      </w:r>
      <w:r w:rsidR="00CB5BA2">
        <w:t>с</w:t>
      </w:r>
      <w:r w:rsidR="00CF6F2E">
        <w:t>о</w:t>
      </w:r>
      <w:r w:rsidR="00CB5BA2">
        <w:t xml:space="preserve"> </w:t>
      </w:r>
      <w:r w:rsidR="00CF6F2E">
        <w:t>снижением</w:t>
      </w:r>
      <w:r w:rsidR="00CB5BA2">
        <w:t xml:space="preserve"> к оценке 20</w:t>
      </w:r>
      <w:r w:rsidR="00CF6F2E">
        <w:t>20</w:t>
      </w:r>
      <w:r w:rsidR="00CB5BA2">
        <w:t xml:space="preserve">г. на </w:t>
      </w:r>
      <w:r w:rsidR="009C0446">
        <w:t>20</w:t>
      </w:r>
      <w:r w:rsidR="00CF6F2E">
        <w:t xml:space="preserve"> тыс.руб. (-</w:t>
      </w:r>
      <w:r w:rsidR="009C0446">
        <w:t>14,3</w:t>
      </w:r>
      <w:r w:rsidR="00CB5BA2">
        <w:t>%)</w:t>
      </w:r>
      <w:r w:rsidRPr="00895EC4">
        <w:t xml:space="preserve">, </w:t>
      </w:r>
      <w:r w:rsidR="00CB5BA2">
        <w:t>на 202</w:t>
      </w:r>
      <w:r w:rsidR="00CF6F2E">
        <w:t>2</w:t>
      </w:r>
      <w:r w:rsidR="00CB5BA2">
        <w:t xml:space="preserve">г. - </w:t>
      </w:r>
      <w:r w:rsidR="009C0446">
        <w:t>110</w:t>
      </w:r>
      <w:r w:rsidR="00CB5BA2">
        <w:t xml:space="preserve"> тыс. рублей</w:t>
      </w:r>
      <w:r w:rsidR="00A26B13">
        <w:t>,</w:t>
      </w:r>
      <w:r w:rsidR="00CB5BA2">
        <w:t xml:space="preserve"> на 202</w:t>
      </w:r>
      <w:r w:rsidR="00CF6F2E">
        <w:t>3</w:t>
      </w:r>
      <w:r w:rsidR="00CB5BA2">
        <w:t xml:space="preserve">г. – </w:t>
      </w:r>
      <w:r w:rsidR="009C0446">
        <w:t>104</w:t>
      </w:r>
      <w:r w:rsidR="00CB5BA2">
        <w:t xml:space="preserve"> тыс. руб.</w:t>
      </w:r>
    </w:p>
    <w:p w:rsidR="00745D94" w:rsidRDefault="00A26B13" w:rsidP="00745D94">
      <w:pPr>
        <w:widowControl w:val="0"/>
        <w:numPr>
          <w:ilvl w:val="12"/>
          <w:numId w:val="0"/>
        </w:numPr>
        <w:ind w:firstLine="567"/>
        <w:jc w:val="both"/>
      </w:pPr>
      <w:r>
        <w:t xml:space="preserve">Доля данных </w:t>
      </w:r>
      <w:r w:rsidRPr="00895EC4">
        <w:t>расход</w:t>
      </w:r>
      <w:r>
        <w:t>ов</w:t>
      </w:r>
      <w:r w:rsidRPr="00895EC4">
        <w:t xml:space="preserve">  составля</w:t>
      </w:r>
      <w:r>
        <w:t>е</w:t>
      </w:r>
      <w:r w:rsidRPr="00895EC4">
        <w:t xml:space="preserve">т </w:t>
      </w:r>
      <w:r w:rsidR="00CF6F2E">
        <w:t>1,</w:t>
      </w:r>
      <w:r w:rsidR="009C0446">
        <w:t>3</w:t>
      </w:r>
      <w:r w:rsidRPr="00895EC4">
        <w:t xml:space="preserve">% от общей суммы расходов </w:t>
      </w:r>
      <w:r>
        <w:t>местного</w:t>
      </w:r>
      <w:r w:rsidRPr="00895EC4">
        <w:t xml:space="preserve"> бюджета на 20</w:t>
      </w:r>
      <w:r w:rsidR="00CB5BA2">
        <w:t>2</w:t>
      </w:r>
      <w:r w:rsidR="00CF6F2E">
        <w:t>1</w:t>
      </w:r>
      <w:r w:rsidRPr="00895EC4">
        <w:t xml:space="preserve"> г</w:t>
      </w:r>
      <w:r>
        <w:t>од.</w:t>
      </w:r>
    </w:p>
    <w:p w:rsidR="00E602C1" w:rsidRPr="00E602C1" w:rsidRDefault="00E602C1" w:rsidP="00172D24">
      <w:pPr>
        <w:autoSpaceDE w:val="0"/>
        <w:autoSpaceDN w:val="0"/>
        <w:adjustRightInd w:val="0"/>
        <w:ind w:firstLine="567"/>
        <w:jc w:val="both"/>
      </w:pPr>
      <w:r w:rsidRPr="00E602C1">
        <w:t xml:space="preserve">В проекте бюджета на  2021 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на 2021 год и на плановый период 2022-2023 годов в сумме 0,1 тыс. руб. ежегодно</w:t>
      </w:r>
      <w:r w:rsidR="00340449">
        <w:t>.</w:t>
      </w:r>
    </w:p>
    <w:p w:rsidR="00172D24" w:rsidRDefault="00C4038B" w:rsidP="00172D24">
      <w:pPr>
        <w:autoSpaceDE w:val="0"/>
        <w:autoSpaceDN w:val="0"/>
        <w:adjustRightInd w:val="0"/>
        <w:ind w:firstLine="567"/>
        <w:jc w:val="both"/>
        <w:rPr>
          <w:bCs/>
          <w:i/>
        </w:rPr>
      </w:pPr>
      <w:r w:rsidRPr="004566BF">
        <w:rPr>
          <w:i/>
        </w:rPr>
        <w:t xml:space="preserve">КСК района отмечает, что в соответствии с Приказом Минфина России от </w:t>
      </w:r>
      <w:r w:rsidR="00172D24">
        <w:rPr>
          <w:i/>
        </w:rPr>
        <w:t>6</w:t>
      </w:r>
      <w:r w:rsidRPr="004566BF">
        <w:rPr>
          <w:i/>
        </w:rPr>
        <w:t xml:space="preserve"> июня 20</w:t>
      </w:r>
      <w:r w:rsidR="00172D24">
        <w:rPr>
          <w:i/>
        </w:rPr>
        <w:t>19</w:t>
      </w:r>
      <w:r w:rsidRPr="004566BF">
        <w:rPr>
          <w:i/>
        </w:rPr>
        <w:t> г. № </w:t>
      </w:r>
      <w:r w:rsidR="00172D24">
        <w:rPr>
          <w:i/>
        </w:rPr>
        <w:t>85</w:t>
      </w:r>
      <w:r w:rsidRPr="004566BF">
        <w:rPr>
          <w:i/>
        </w:rPr>
        <w:t xml:space="preserve">н «О Порядке формирования и применения кодов бюджетной классификации Российской Федерации, их структуре и принципах назначения» с 6 </w:t>
      </w:r>
      <w:r w:rsidR="00172D24">
        <w:rPr>
          <w:i/>
        </w:rPr>
        <w:t>июня</w:t>
      </w:r>
      <w:r w:rsidRPr="004566BF">
        <w:rPr>
          <w:i/>
        </w:rPr>
        <w:t xml:space="preserve"> 20</w:t>
      </w:r>
      <w:r w:rsidR="00172D24">
        <w:rPr>
          <w:i/>
        </w:rPr>
        <w:t>19</w:t>
      </w:r>
      <w:r w:rsidRPr="004566BF">
        <w:rPr>
          <w:i/>
        </w:rPr>
        <w:t xml:space="preserve"> г. вступили в силу изменения, которые применяются к правоотношениям, возникающим при составлении и исполнении бюджетов бюджетной системы Российской Федерации, начиная с бюджетов на 202</w:t>
      </w:r>
      <w:r w:rsidR="00172D24">
        <w:rPr>
          <w:i/>
        </w:rPr>
        <w:t>0</w:t>
      </w:r>
      <w:r w:rsidRPr="004566BF">
        <w:rPr>
          <w:i/>
        </w:rPr>
        <w:t> г. (на 202</w:t>
      </w:r>
      <w:r w:rsidR="00172D24">
        <w:rPr>
          <w:i/>
        </w:rPr>
        <w:t>0</w:t>
      </w:r>
      <w:r w:rsidRPr="004566BF">
        <w:rPr>
          <w:i/>
        </w:rPr>
        <w:t> г. и на плановый период 202</w:t>
      </w:r>
      <w:r w:rsidR="00172D24">
        <w:rPr>
          <w:i/>
        </w:rPr>
        <w:t>1</w:t>
      </w:r>
      <w:r w:rsidRPr="004566BF">
        <w:rPr>
          <w:i/>
        </w:rPr>
        <w:t xml:space="preserve"> и 202</w:t>
      </w:r>
      <w:r w:rsidR="00172D24">
        <w:rPr>
          <w:i/>
        </w:rPr>
        <w:t>2</w:t>
      </w:r>
      <w:r w:rsidRPr="004566BF">
        <w:rPr>
          <w:i/>
        </w:rPr>
        <w:t xml:space="preserve"> гг.),  в том числе </w:t>
      </w:r>
      <w:r w:rsidRPr="004566BF">
        <w:rPr>
          <w:b/>
          <w:i/>
        </w:rPr>
        <w:t xml:space="preserve">изменилось наименование </w:t>
      </w:r>
      <w:r>
        <w:rPr>
          <w:b/>
          <w:i/>
        </w:rPr>
        <w:t>раздела 13</w:t>
      </w:r>
      <w:r w:rsidR="00172D24">
        <w:rPr>
          <w:b/>
          <w:i/>
        </w:rPr>
        <w:t>00 «Обслуживание государственного (муниципального) долга»</w:t>
      </w:r>
      <w:r>
        <w:rPr>
          <w:b/>
          <w:i/>
        </w:rPr>
        <w:t xml:space="preserve"> </w:t>
      </w:r>
      <w:r w:rsidR="00172D24">
        <w:rPr>
          <w:b/>
          <w:i/>
        </w:rPr>
        <w:t xml:space="preserve"> и </w:t>
      </w:r>
      <w:r w:rsidR="003146D6">
        <w:rPr>
          <w:b/>
          <w:i/>
        </w:rPr>
        <w:t>н</w:t>
      </w:r>
      <w:r w:rsidR="00172D24">
        <w:rPr>
          <w:b/>
          <w:i/>
        </w:rPr>
        <w:t xml:space="preserve">аименование </w:t>
      </w:r>
      <w:r w:rsidRPr="004566BF">
        <w:rPr>
          <w:b/>
          <w:i/>
        </w:rPr>
        <w:t xml:space="preserve">подраздела </w:t>
      </w:r>
      <w:r w:rsidR="00172D24">
        <w:rPr>
          <w:b/>
          <w:i/>
        </w:rPr>
        <w:t>1301</w:t>
      </w:r>
      <w:r w:rsidRPr="004566BF">
        <w:rPr>
          <w:b/>
          <w:i/>
        </w:rPr>
        <w:t xml:space="preserve"> «</w:t>
      </w:r>
      <w:r w:rsidR="00172D24">
        <w:rPr>
          <w:b/>
          <w:i/>
        </w:rPr>
        <w:t>Обслуживание государственного (муниципального) внутреннего долга</w:t>
      </w:r>
      <w:r w:rsidRPr="004566BF">
        <w:rPr>
          <w:b/>
          <w:i/>
        </w:rPr>
        <w:t>»</w:t>
      </w:r>
      <w:r w:rsidRPr="004566BF">
        <w:rPr>
          <w:bCs/>
          <w:i/>
        </w:rPr>
        <w:t>. Требуется привести в соответствие наименование данного</w:t>
      </w:r>
      <w:r w:rsidR="00172D24">
        <w:rPr>
          <w:bCs/>
          <w:i/>
        </w:rPr>
        <w:t xml:space="preserve"> раздела и </w:t>
      </w:r>
      <w:r w:rsidRPr="004566BF">
        <w:rPr>
          <w:bCs/>
          <w:i/>
        </w:rPr>
        <w:t xml:space="preserve"> подраздела в  приложениях к проекту бюджета.</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21г.</w:t>
      </w:r>
      <w:r w:rsidR="00340449" w:rsidRPr="00895EC4">
        <w:t xml:space="preserve"> в сумме </w:t>
      </w:r>
      <w:r w:rsidR="00340449">
        <w:t>945,2</w:t>
      </w:r>
      <w:r w:rsidR="00340449" w:rsidRPr="00895EC4">
        <w:t xml:space="preserve"> тыс.руб.</w:t>
      </w:r>
      <w:r w:rsidR="00340449">
        <w:t>,</w:t>
      </w:r>
      <w:r w:rsidR="00340449" w:rsidRPr="00CB5BA2">
        <w:t xml:space="preserve"> </w:t>
      </w:r>
      <w:r w:rsidR="00340449">
        <w:t>с ростом к оценке исполнения 2020г. на 79,2 тыс.руб. (+9,1%)</w:t>
      </w:r>
      <w:r w:rsidR="00340449" w:rsidRPr="00895EC4">
        <w:t xml:space="preserve">, </w:t>
      </w:r>
      <w:r w:rsidR="00340449">
        <w:t xml:space="preserve">на 2022г. – 961,9 тыс. рублей, на 2023г. – 979,2 тыс. руб. –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340449">
        <w:t>135,8</w:t>
      </w:r>
      <w:r w:rsidR="00EC29E3">
        <w:t xml:space="preserve"> тыс. руб.</w:t>
      </w:r>
      <w:r w:rsidR="00340449">
        <w:t xml:space="preserve"> (2021г.)</w:t>
      </w:r>
      <w:r w:rsidR="006C75F8">
        <w:t>,</w:t>
      </w:r>
      <w:r w:rsidR="00EC29E3">
        <w:t xml:space="preserve"> </w:t>
      </w:r>
      <w:r w:rsidR="00340449">
        <w:t xml:space="preserve">в сумме 141,2 тыс. руб. (2022-2023гг., </w:t>
      </w:r>
      <w:r w:rsidR="00EC29E3">
        <w:t>ежегодно</w:t>
      </w:r>
      <w:r w:rsidR="00340449">
        <w:t>)</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335D6E">
        <w:t>809,4 тыс. руб. (2021г.), в сумме 820,7тыс. руб. (2022г.), в сумме 838 тыс. руб.(2023г.).</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w:t>
      </w:r>
      <w:r>
        <w:t xml:space="preserve">и плановый период </w:t>
      </w:r>
      <w:r w:rsidRPr="00155BAC">
        <w:t>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9C0446">
        <w:t>10</w:t>
      </w:r>
      <w:r w:rsidRPr="00895EC4">
        <w:t xml:space="preserve">% от общей суммы расходов </w:t>
      </w:r>
      <w:r>
        <w:t>местного</w:t>
      </w:r>
      <w:r w:rsidRPr="00895EC4">
        <w:t xml:space="preserve"> бюджета на 20</w:t>
      </w:r>
      <w:r w:rsidR="00E775EA">
        <w:t>2</w:t>
      </w:r>
      <w:r w:rsidR="00335D6E">
        <w:t>1</w:t>
      </w:r>
      <w:r w:rsidRPr="00895EC4">
        <w:t xml:space="preserve"> г</w:t>
      </w:r>
      <w:r>
        <w:t>од.</w:t>
      </w:r>
    </w:p>
    <w:p w:rsidR="0066622A" w:rsidRPr="00CB564A" w:rsidRDefault="0066622A" w:rsidP="0066622A">
      <w:pPr>
        <w:tabs>
          <w:tab w:val="left" w:pos="3544"/>
        </w:tabs>
        <w:ind w:firstLine="567"/>
        <w:jc w:val="both"/>
        <w:rPr>
          <w:bCs/>
          <w:iCs/>
        </w:rPr>
      </w:pPr>
      <w:r w:rsidRPr="00CB564A">
        <w:t>В соответствии со статьей 184.2</w:t>
      </w:r>
      <w:r>
        <w:t>.</w:t>
      </w:r>
      <w:r w:rsidRPr="00CB564A">
        <w:t xml:space="preserve"> Бюджетного кодекса РФ, одновременно с проектом </w:t>
      </w:r>
      <w:r>
        <w:t xml:space="preserve">местного </w:t>
      </w:r>
      <w:r w:rsidRPr="00CB564A">
        <w:t xml:space="preserve">бюджета </w:t>
      </w:r>
      <w:r w:rsidR="00F14F81">
        <w:t xml:space="preserve">в КСК района </w:t>
      </w:r>
      <w:r w:rsidRPr="00CB564A">
        <w:t xml:space="preserve">представлен </w:t>
      </w:r>
      <w:r w:rsidR="009C0446">
        <w:t xml:space="preserve">проект изменений в </w:t>
      </w:r>
      <w:r w:rsidRPr="00CB564A">
        <w:t>паспорт муниципальн</w:t>
      </w:r>
      <w:r w:rsidR="00335D6E">
        <w:t>ой</w:t>
      </w:r>
      <w:r w:rsidRPr="00CB564A">
        <w:t xml:space="preserve"> программ</w:t>
      </w:r>
      <w:r w:rsidR="00335D6E">
        <w:t>ы</w:t>
      </w:r>
      <w:r w:rsidR="00F424E8">
        <w:t xml:space="preserve"> </w:t>
      </w:r>
      <w:r w:rsidR="009C0446">
        <w:t>«К</w:t>
      </w:r>
      <w:r w:rsidR="00F424E8">
        <w:t>омплексно</w:t>
      </w:r>
      <w:r w:rsidR="009C0446">
        <w:t>е</w:t>
      </w:r>
      <w:r w:rsidR="00F424E8">
        <w:t xml:space="preserve"> </w:t>
      </w:r>
      <w:r w:rsidR="00F424E8">
        <w:rPr>
          <w:snapToGrid w:val="0"/>
          <w:szCs w:val="28"/>
        </w:rPr>
        <w:t>развити</w:t>
      </w:r>
      <w:r w:rsidR="009C0446">
        <w:rPr>
          <w:snapToGrid w:val="0"/>
          <w:szCs w:val="28"/>
        </w:rPr>
        <w:t>е</w:t>
      </w:r>
      <w:r w:rsidR="00F424E8">
        <w:rPr>
          <w:snapToGrid w:val="0"/>
          <w:szCs w:val="28"/>
        </w:rPr>
        <w:t xml:space="preserve"> </w:t>
      </w:r>
      <w:r w:rsidR="009C0446">
        <w:rPr>
          <w:snapToGrid w:val="0"/>
          <w:szCs w:val="28"/>
        </w:rPr>
        <w:t>сельских</w:t>
      </w:r>
      <w:r w:rsidR="00F424E8">
        <w:rPr>
          <w:snapToGrid w:val="0"/>
          <w:szCs w:val="28"/>
        </w:rPr>
        <w:t xml:space="preserve"> территори</w:t>
      </w:r>
      <w:r w:rsidR="009C0446">
        <w:rPr>
          <w:snapToGrid w:val="0"/>
          <w:szCs w:val="28"/>
        </w:rPr>
        <w:t>й</w:t>
      </w:r>
      <w:r w:rsidR="00F424E8">
        <w:rPr>
          <w:snapToGrid w:val="0"/>
          <w:szCs w:val="28"/>
        </w:rPr>
        <w:t xml:space="preserve"> </w:t>
      </w:r>
      <w:r w:rsidR="009A5EB2">
        <w:rPr>
          <w:snapToGrid w:val="0"/>
          <w:szCs w:val="28"/>
        </w:rPr>
        <w:t>Знаменского</w:t>
      </w:r>
      <w:r w:rsidR="00F424E8">
        <w:rPr>
          <w:snapToGrid w:val="0"/>
          <w:szCs w:val="28"/>
        </w:rPr>
        <w:t xml:space="preserve"> </w:t>
      </w:r>
      <w:r w:rsidR="009C0446">
        <w:rPr>
          <w:snapToGrid w:val="0"/>
          <w:szCs w:val="28"/>
        </w:rPr>
        <w:t>муниципального образования</w:t>
      </w:r>
      <w:r w:rsidR="00F424E8">
        <w:rPr>
          <w:snapToGrid w:val="0"/>
          <w:szCs w:val="28"/>
        </w:rPr>
        <w:t xml:space="preserve"> на </w:t>
      </w:r>
      <w:r w:rsidR="00F424E8" w:rsidRPr="009D0FAD">
        <w:rPr>
          <w:snapToGrid w:val="0"/>
          <w:szCs w:val="28"/>
        </w:rPr>
        <w:t>20</w:t>
      </w:r>
      <w:r w:rsidR="009C0446">
        <w:rPr>
          <w:snapToGrid w:val="0"/>
          <w:szCs w:val="28"/>
        </w:rPr>
        <w:t>20</w:t>
      </w:r>
      <w:r w:rsidR="00F424E8" w:rsidRPr="009D0FAD">
        <w:rPr>
          <w:snapToGrid w:val="0"/>
          <w:szCs w:val="28"/>
        </w:rPr>
        <w:t>-20</w:t>
      </w:r>
      <w:r w:rsidR="009C0446">
        <w:rPr>
          <w:snapToGrid w:val="0"/>
          <w:szCs w:val="28"/>
        </w:rPr>
        <w:t>26</w:t>
      </w:r>
      <w:r w:rsidR="00F424E8" w:rsidRPr="009D0FAD">
        <w:rPr>
          <w:snapToGrid w:val="0"/>
          <w:szCs w:val="28"/>
        </w:rPr>
        <w:t xml:space="preserve"> годы</w:t>
      </w:r>
      <w:r w:rsidR="009C0446">
        <w:rPr>
          <w:snapToGrid w:val="0"/>
          <w:szCs w:val="28"/>
        </w:rPr>
        <w:t>»</w:t>
      </w:r>
      <w:r w:rsidR="00A57071">
        <w:rPr>
          <w:snapToGrid w:val="0"/>
          <w:szCs w:val="28"/>
        </w:rPr>
        <w:t>, мероприятия которой будут реализованы в период 2021-2023гг.</w:t>
      </w:r>
      <w:r w:rsidRPr="00CB564A">
        <w:t xml:space="preserve"> </w:t>
      </w:r>
    </w:p>
    <w:p w:rsidR="0066622A" w:rsidRPr="0066622A" w:rsidRDefault="00386BDF" w:rsidP="00386BDF">
      <w:pPr>
        <w:ind w:firstLine="567"/>
        <w:jc w:val="both"/>
        <w:rPr>
          <w:color w:val="000000"/>
        </w:rPr>
      </w:pPr>
      <w:r w:rsidRPr="0014598E">
        <w:rPr>
          <w:color w:val="000000"/>
        </w:rPr>
        <w:t xml:space="preserve">Программная часть расходов бюджета </w:t>
      </w:r>
      <w:r w:rsidR="009A5EB2">
        <w:rPr>
          <w:color w:val="000000"/>
        </w:rPr>
        <w:t>Знаменского</w:t>
      </w:r>
      <w:r w:rsidR="0000549E" w:rsidRPr="0014598E">
        <w:rPr>
          <w:color w:val="000000"/>
        </w:rPr>
        <w:t xml:space="preserve"> сельского поселения</w:t>
      </w:r>
      <w:r w:rsidRPr="0014598E">
        <w:rPr>
          <w:color w:val="000000"/>
        </w:rPr>
        <w:t xml:space="preserve"> на 20</w:t>
      </w:r>
      <w:r w:rsidR="00E775EA">
        <w:rPr>
          <w:color w:val="000000"/>
        </w:rPr>
        <w:t>2</w:t>
      </w:r>
      <w:r w:rsidR="00F424E8">
        <w:rPr>
          <w:color w:val="000000"/>
        </w:rPr>
        <w:t>1</w:t>
      </w:r>
      <w:r w:rsidRPr="0014598E">
        <w:rPr>
          <w:color w:val="000000"/>
        </w:rPr>
        <w:t xml:space="preserve"> год составит </w:t>
      </w:r>
      <w:r w:rsidR="009C0446">
        <w:rPr>
          <w:color w:val="000000"/>
        </w:rPr>
        <w:t>73,8</w:t>
      </w:r>
      <w:r w:rsidRPr="0014598E">
        <w:rPr>
          <w:color w:val="000000"/>
        </w:rPr>
        <w:t xml:space="preserve"> тыс. рублей </w:t>
      </w:r>
      <w:r w:rsidR="006F3382">
        <w:rPr>
          <w:color w:val="000000"/>
        </w:rPr>
        <w:t>(</w:t>
      </w:r>
      <w:r w:rsidRPr="0014598E">
        <w:rPr>
          <w:color w:val="000000"/>
        </w:rPr>
        <w:t xml:space="preserve">или </w:t>
      </w:r>
      <w:r w:rsidR="009C0446">
        <w:rPr>
          <w:color w:val="000000"/>
        </w:rPr>
        <w:t>0,8</w:t>
      </w:r>
      <w:r w:rsidRPr="0014598E">
        <w:rPr>
          <w:color w:val="000000"/>
        </w:rPr>
        <w:t>%</w:t>
      </w:r>
      <w:r w:rsidR="006F3382">
        <w:rPr>
          <w:color w:val="000000"/>
        </w:rPr>
        <w:t>)</w:t>
      </w:r>
      <w:r w:rsidR="0066622A" w:rsidRPr="0014598E">
        <w:rPr>
          <w:color w:val="000000"/>
        </w:rPr>
        <w:t>,</w:t>
      </w:r>
      <w:r w:rsidRPr="0014598E">
        <w:rPr>
          <w:color w:val="000000"/>
        </w:rPr>
        <w:t xml:space="preserve"> </w:t>
      </w:r>
      <w:r w:rsidR="0066622A" w:rsidRPr="0014598E">
        <w:rPr>
          <w:color w:val="000000"/>
        </w:rPr>
        <w:t>на 202</w:t>
      </w:r>
      <w:r w:rsidR="00F424E8">
        <w:rPr>
          <w:color w:val="000000"/>
        </w:rPr>
        <w:t>2</w:t>
      </w:r>
      <w:r w:rsidR="0066622A" w:rsidRPr="0014598E">
        <w:rPr>
          <w:color w:val="000000"/>
        </w:rPr>
        <w:t xml:space="preserve"> год – </w:t>
      </w:r>
      <w:r w:rsidR="009C0446">
        <w:rPr>
          <w:color w:val="000000"/>
        </w:rPr>
        <w:t>26,1</w:t>
      </w:r>
      <w:r w:rsidR="0066622A" w:rsidRPr="0014598E">
        <w:rPr>
          <w:color w:val="000000"/>
        </w:rPr>
        <w:t xml:space="preserve"> тыс. рублей (или </w:t>
      </w:r>
      <w:r w:rsidR="009C0446">
        <w:rPr>
          <w:color w:val="000000"/>
        </w:rPr>
        <w:t>0,3</w:t>
      </w:r>
      <w:r w:rsidR="0066622A" w:rsidRPr="0014598E">
        <w:rPr>
          <w:color w:val="000000"/>
        </w:rPr>
        <w:t>%), на 202</w:t>
      </w:r>
      <w:r w:rsidR="00F424E8">
        <w:rPr>
          <w:color w:val="000000"/>
        </w:rPr>
        <w:t>3</w:t>
      </w:r>
      <w:r w:rsidR="0066622A" w:rsidRPr="0014598E">
        <w:rPr>
          <w:color w:val="000000"/>
        </w:rPr>
        <w:t xml:space="preserve"> год – </w:t>
      </w:r>
      <w:r w:rsidR="009C0446">
        <w:rPr>
          <w:color w:val="000000"/>
        </w:rPr>
        <w:t>26,1</w:t>
      </w:r>
      <w:r w:rsidR="0066622A" w:rsidRPr="0014598E">
        <w:rPr>
          <w:color w:val="000000"/>
        </w:rPr>
        <w:t xml:space="preserve"> тыс. рублей (или </w:t>
      </w:r>
      <w:r w:rsidR="009C0446">
        <w:rPr>
          <w:color w:val="000000"/>
        </w:rPr>
        <w:t>0,3</w:t>
      </w:r>
      <w:r w:rsidR="0066622A" w:rsidRPr="0014598E">
        <w:rPr>
          <w:color w:val="000000"/>
        </w:rPr>
        <w:t xml:space="preserve">%) </w:t>
      </w:r>
      <w:r w:rsidRPr="0014598E">
        <w:rPr>
          <w:color w:val="000000"/>
        </w:rPr>
        <w:t>от общего объема расходов местного бюджета</w:t>
      </w:r>
      <w:r w:rsidR="0066622A" w:rsidRPr="0014598E">
        <w:rPr>
          <w:color w:val="000000"/>
        </w:rPr>
        <w:t>.</w:t>
      </w:r>
    </w:p>
    <w:p w:rsidR="00950680" w:rsidRDefault="00386BDF" w:rsidP="003843A5">
      <w:pPr>
        <w:ind w:firstLine="567"/>
        <w:jc w:val="both"/>
      </w:pPr>
      <w:r w:rsidRPr="0066622A">
        <w:rPr>
          <w:color w:val="000000"/>
        </w:rPr>
        <w:t xml:space="preserve"> </w:t>
      </w: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 xml:space="preserve">Источники финансирования дефицита </w:t>
      </w:r>
      <w:r w:rsidR="00424D8E" w:rsidRPr="00AA04FE">
        <w:rPr>
          <w:b w:val="0"/>
          <w:sz w:val="24"/>
          <w:szCs w:val="24"/>
        </w:rPr>
        <w:t xml:space="preserve">местного </w:t>
      </w:r>
      <w:r w:rsidR="00BD6403" w:rsidRPr="00AA04FE">
        <w:rPr>
          <w:b w:val="0"/>
          <w:sz w:val="24"/>
          <w:szCs w:val="24"/>
        </w:rPr>
        <w:t xml:space="preserve">бюджета </w:t>
      </w:r>
    </w:p>
    <w:p w:rsidR="00C91429" w:rsidRPr="00AA04FE" w:rsidRDefault="00C91429" w:rsidP="00C91429">
      <w:pPr>
        <w:pStyle w:val="BodyText21"/>
        <w:widowControl w:val="0"/>
        <w:numPr>
          <w:ilvl w:val="12"/>
          <w:numId w:val="0"/>
        </w:numPr>
        <w:ind w:firstLine="567"/>
        <w:jc w:val="center"/>
        <w:rPr>
          <w:b w:val="0"/>
          <w:sz w:val="24"/>
          <w:szCs w:val="24"/>
        </w:rPr>
      </w:pPr>
      <w:r w:rsidRPr="00AA04FE">
        <w:rPr>
          <w:b w:val="0"/>
          <w:sz w:val="24"/>
          <w:szCs w:val="24"/>
        </w:rPr>
        <w:t>и предельный объем муниципального долга</w:t>
      </w: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w:t>
      </w:r>
      <w:r w:rsidR="00A57071">
        <w:rPr>
          <w:b w:val="0"/>
          <w:sz w:val="24"/>
          <w:szCs w:val="24"/>
        </w:rPr>
        <w:t>1</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5174A6">
        <w:rPr>
          <w:b w:val="0"/>
          <w:sz w:val="24"/>
          <w:szCs w:val="24"/>
        </w:rPr>
        <w:t>40,3</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A57071">
        <w:rPr>
          <w:b w:val="0"/>
          <w:sz w:val="24"/>
          <w:szCs w:val="24"/>
        </w:rPr>
        <w:t>2</w:t>
      </w:r>
      <w:r w:rsidRPr="00895EC4">
        <w:rPr>
          <w:b w:val="0"/>
          <w:sz w:val="24"/>
          <w:szCs w:val="24"/>
        </w:rPr>
        <w:t>-20</w:t>
      </w:r>
      <w:r w:rsidR="0092107B">
        <w:rPr>
          <w:b w:val="0"/>
          <w:sz w:val="24"/>
          <w:szCs w:val="24"/>
        </w:rPr>
        <w:t>2</w:t>
      </w:r>
      <w:r w:rsidR="00A57071">
        <w:rPr>
          <w:b w:val="0"/>
          <w:sz w:val="24"/>
          <w:szCs w:val="24"/>
        </w:rPr>
        <w:t>3</w:t>
      </w:r>
      <w:r w:rsidRPr="00895EC4">
        <w:rPr>
          <w:b w:val="0"/>
          <w:sz w:val="24"/>
          <w:szCs w:val="24"/>
        </w:rPr>
        <w:t xml:space="preserve"> годов </w:t>
      </w:r>
      <w:r w:rsidR="00445280">
        <w:rPr>
          <w:b w:val="0"/>
          <w:sz w:val="24"/>
          <w:szCs w:val="24"/>
        </w:rPr>
        <w:t xml:space="preserve">с размером дефицита бюджета в сумме </w:t>
      </w:r>
      <w:r w:rsidR="005174A6">
        <w:rPr>
          <w:b w:val="0"/>
          <w:sz w:val="24"/>
          <w:szCs w:val="24"/>
        </w:rPr>
        <w:t>41,7</w:t>
      </w:r>
      <w:r w:rsidRPr="00895EC4">
        <w:rPr>
          <w:b w:val="0"/>
          <w:sz w:val="24"/>
          <w:szCs w:val="24"/>
        </w:rPr>
        <w:t xml:space="preserve"> тыс. рублей и </w:t>
      </w:r>
      <w:r w:rsidR="005174A6">
        <w:rPr>
          <w:b w:val="0"/>
          <w:sz w:val="24"/>
          <w:szCs w:val="24"/>
        </w:rPr>
        <w:t>43</w:t>
      </w:r>
      <w:r w:rsidRPr="00895EC4">
        <w:rPr>
          <w:b w:val="0"/>
          <w:sz w:val="24"/>
          <w:szCs w:val="24"/>
        </w:rPr>
        <w:t xml:space="preserve"> тыс. рублей, соответственно</w:t>
      </w:r>
      <w:r w:rsidR="00424510">
        <w:rPr>
          <w:b w:val="0"/>
          <w:sz w:val="24"/>
          <w:szCs w:val="24"/>
        </w:rPr>
        <w:t xml:space="preserve">, или </w:t>
      </w:r>
      <w:r w:rsidR="003028ED">
        <w:rPr>
          <w:b w:val="0"/>
          <w:sz w:val="24"/>
          <w:szCs w:val="24"/>
        </w:rPr>
        <w:t>3,75</w:t>
      </w:r>
      <w:r w:rsidR="00424510">
        <w:rPr>
          <w:b w:val="0"/>
          <w:sz w:val="24"/>
          <w:szCs w:val="24"/>
        </w:rPr>
        <w:t>%</w:t>
      </w:r>
      <w:r w:rsidR="0007456A">
        <w:rPr>
          <w:b w:val="0"/>
          <w:sz w:val="24"/>
          <w:szCs w:val="24"/>
        </w:rPr>
        <w:t xml:space="preserve"> </w:t>
      </w:r>
      <w:r w:rsidR="005174A6">
        <w:rPr>
          <w:b w:val="0"/>
          <w:sz w:val="24"/>
          <w:szCs w:val="24"/>
        </w:rPr>
        <w:t xml:space="preserve">(2021-2022гг. </w:t>
      </w:r>
      <w:r w:rsidR="0007456A">
        <w:rPr>
          <w:b w:val="0"/>
          <w:sz w:val="24"/>
          <w:szCs w:val="24"/>
        </w:rPr>
        <w:t>ежегодно</w:t>
      </w:r>
      <w:r w:rsidR="005174A6">
        <w:rPr>
          <w:b w:val="0"/>
          <w:sz w:val="24"/>
          <w:szCs w:val="24"/>
        </w:rPr>
        <w:t>), 3,74% (2023г.)</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F0378B">
        <w:rPr>
          <w:b w:val="0"/>
          <w:sz w:val="24"/>
          <w:szCs w:val="24"/>
        </w:rPr>
        <w:t>е</w:t>
      </w:r>
      <w:r w:rsidRPr="0011233D">
        <w:rPr>
          <w:b w:val="0"/>
          <w:sz w:val="24"/>
          <w:szCs w:val="24"/>
        </w:rPr>
        <w:t xml:space="preserve"> №</w:t>
      </w:r>
      <w:r w:rsidR="00F74A0D">
        <w:rPr>
          <w:b w:val="0"/>
          <w:sz w:val="24"/>
          <w:szCs w:val="24"/>
        </w:rPr>
        <w:t xml:space="preserve"> </w:t>
      </w:r>
      <w:r w:rsidR="00F0378B">
        <w:rPr>
          <w:b w:val="0"/>
          <w:sz w:val="24"/>
          <w:szCs w:val="24"/>
        </w:rPr>
        <w:t>1</w:t>
      </w:r>
      <w:r w:rsidR="00A57071">
        <w:rPr>
          <w:b w:val="0"/>
          <w:sz w:val="24"/>
          <w:szCs w:val="24"/>
        </w:rPr>
        <w:t>1</w:t>
      </w:r>
      <w:r w:rsidRPr="0011233D">
        <w:rPr>
          <w:b w:val="0"/>
          <w:sz w:val="24"/>
          <w:szCs w:val="24"/>
        </w:rPr>
        <w:t xml:space="preserve"> к проекту бюджета) в период 20</w:t>
      </w:r>
      <w:r w:rsidR="00F0378B">
        <w:rPr>
          <w:b w:val="0"/>
          <w:sz w:val="24"/>
          <w:szCs w:val="24"/>
        </w:rPr>
        <w:t>2</w:t>
      </w:r>
      <w:r w:rsidR="00A57071">
        <w:rPr>
          <w:b w:val="0"/>
          <w:sz w:val="24"/>
          <w:szCs w:val="24"/>
        </w:rPr>
        <w:t>1</w:t>
      </w:r>
      <w:r w:rsidRPr="0011233D">
        <w:rPr>
          <w:b w:val="0"/>
          <w:sz w:val="24"/>
          <w:szCs w:val="24"/>
        </w:rPr>
        <w:t>-202</w:t>
      </w:r>
      <w:r w:rsidR="00A57071">
        <w:rPr>
          <w:b w:val="0"/>
          <w:sz w:val="24"/>
          <w:szCs w:val="24"/>
        </w:rPr>
        <w:t>3</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9A5EB2">
        <w:rPr>
          <w:b w:val="0"/>
          <w:sz w:val="24"/>
          <w:szCs w:val="24"/>
        </w:rPr>
        <w:t>Знаменского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9A5EB2">
        <w:rPr>
          <w:b w:val="0"/>
          <w:sz w:val="24"/>
          <w:szCs w:val="24"/>
        </w:rPr>
        <w:t>Знаменского</w:t>
      </w:r>
      <w:r w:rsidR="0000549E">
        <w:rPr>
          <w:b w:val="0"/>
          <w:sz w:val="24"/>
          <w:szCs w:val="24"/>
        </w:rPr>
        <w:t xml:space="preserve"> </w:t>
      </w:r>
      <w:r w:rsidR="007255F5">
        <w:rPr>
          <w:b w:val="0"/>
          <w:sz w:val="24"/>
          <w:szCs w:val="24"/>
        </w:rPr>
        <w:t>муниципального образования</w:t>
      </w:r>
      <w:r w:rsidR="00F74A0D"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00F74A0D" w:rsidRPr="00895EC4">
        <w:rPr>
          <w:b w:val="0"/>
          <w:sz w:val="24"/>
          <w:szCs w:val="24"/>
        </w:rPr>
        <w:t xml:space="preserve">»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A57071">
        <w:rPr>
          <w:b w:val="0"/>
          <w:sz w:val="24"/>
          <w:szCs w:val="24"/>
        </w:rPr>
        <w:t>2</w:t>
      </w:r>
      <w:r w:rsidRPr="00895EC4">
        <w:rPr>
          <w:b w:val="0"/>
          <w:sz w:val="24"/>
          <w:szCs w:val="24"/>
        </w:rPr>
        <w:t xml:space="preserve"> г. – </w:t>
      </w:r>
      <w:r w:rsidR="007255F5">
        <w:rPr>
          <w:b w:val="0"/>
          <w:sz w:val="24"/>
          <w:szCs w:val="24"/>
        </w:rPr>
        <w:t>40,3</w:t>
      </w:r>
      <w:r w:rsidR="00F74A0D">
        <w:rPr>
          <w:b w:val="0"/>
          <w:sz w:val="24"/>
          <w:szCs w:val="24"/>
        </w:rPr>
        <w:t xml:space="preserve"> тыс. руб., на 01 января 202</w:t>
      </w:r>
      <w:r w:rsidR="00A57071">
        <w:rPr>
          <w:b w:val="0"/>
          <w:sz w:val="24"/>
          <w:szCs w:val="24"/>
        </w:rPr>
        <w:t>3</w:t>
      </w:r>
      <w:r w:rsidRPr="00895EC4">
        <w:rPr>
          <w:b w:val="0"/>
          <w:sz w:val="24"/>
          <w:szCs w:val="24"/>
        </w:rPr>
        <w:t xml:space="preserve"> г. – </w:t>
      </w:r>
      <w:r w:rsidR="007255F5">
        <w:rPr>
          <w:b w:val="0"/>
          <w:sz w:val="24"/>
          <w:szCs w:val="24"/>
        </w:rPr>
        <w:t>82</w:t>
      </w:r>
      <w:r w:rsidRPr="00895EC4">
        <w:rPr>
          <w:b w:val="0"/>
          <w:sz w:val="24"/>
          <w:szCs w:val="24"/>
        </w:rPr>
        <w:t xml:space="preserve"> тыс. руб., 01 января 202</w:t>
      </w:r>
      <w:r w:rsidR="00A57071">
        <w:rPr>
          <w:b w:val="0"/>
          <w:sz w:val="24"/>
          <w:szCs w:val="24"/>
        </w:rPr>
        <w:t>4</w:t>
      </w:r>
      <w:r w:rsidRPr="00895EC4">
        <w:rPr>
          <w:b w:val="0"/>
          <w:sz w:val="24"/>
          <w:szCs w:val="24"/>
        </w:rPr>
        <w:t xml:space="preserve"> г. – </w:t>
      </w:r>
      <w:r w:rsidR="007255F5">
        <w:rPr>
          <w:b w:val="0"/>
          <w:sz w:val="24"/>
          <w:szCs w:val="24"/>
        </w:rPr>
        <w:t>125</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9A5EB2">
        <w:rPr>
          <w:b w:val="0"/>
          <w:sz w:val="24"/>
          <w:szCs w:val="24"/>
        </w:rPr>
        <w:t>Знаменского</w:t>
      </w:r>
      <w:r w:rsidR="0000549E">
        <w:rPr>
          <w:b w:val="0"/>
          <w:sz w:val="24"/>
          <w:szCs w:val="24"/>
        </w:rPr>
        <w:t xml:space="preserve"> сельского поселения</w:t>
      </w:r>
      <w:r w:rsidRPr="00895EC4">
        <w:rPr>
          <w:b w:val="0"/>
          <w:sz w:val="24"/>
          <w:szCs w:val="24"/>
        </w:rPr>
        <w:t xml:space="preserve"> «О бюджете </w:t>
      </w:r>
      <w:r w:rsidR="009A5EB2">
        <w:rPr>
          <w:b w:val="0"/>
          <w:sz w:val="24"/>
          <w:szCs w:val="24"/>
        </w:rPr>
        <w:t>Знаменского</w:t>
      </w:r>
      <w:r w:rsidR="0000549E">
        <w:rPr>
          <w:b w:val="0"/>
          <w:sz w:val="24"/>
          <w:szCs w:val="24"/>
        </w:rPr>
        <w:t xml:space="preserve"> </w:t>
      </w:r>
      <w:r w:rsidR="007255F5">
        <w:rPr>
          <w:b w:val="0"/>
          <w:sz w:val="24"/>
          <w:szCs w:val="24"/>
        </w:rPr>
        <w:t>муниципального образования</w:t>
      </w:r>
      <w:r w:rsidR="007255F5" w:rsidRPr="00895EC4">
        <w:rPr>
          <w:b w:val="0"/>
          <w:sz w:val="24"/>
          <w:szCs w:val="24"/>
        </w:rPr>
        <w:t xml:space="preserve"> </w:t>
      </w:r>
      <w:r w:rsidR="00803359">
        <w:rPr>
          <w:b w:val="0"/>
          <w:sz w:val="24"/>
          <w:szCs w:val="24"/>
        </w:rPr>
        <w:t xml:space="preserve">на </w:t>
      </w:r>
      <w:r w:rsidR="007965C5">
        <w:rPr>
          <w:b w:val="0"/>
          <w:sz w:val="24"/>
          <w:szCs w:val="24"/>
        </w:rPr>
        <w:t>2021 год и плановый период 2022 и 2023 годов</w:t>
      </w:r>
      <w:r w:rsidRPr="00895EC4">
        <w:rPr>
          <w:b w:val="0"/>
          <w:sz w:val="24"/>
          <w:szCs w:val="24"/>
        </w:rPr>
        <w:t>»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w:t>
      </w:r>
      <w:r w:rsidR="00A57071">
        <w:rPr>
          <w:b w:val="0"/>
          <w:sz w:val="24"/>
          <w:szCs w:val="24"/>
        </w:rPr>
        <w:t>1</w:t>
      </w:r>
      <w:r w:rsidR="00C91429" w:rsidRPr="00895EC4">
        <w:rPr>
          <w:b w:val="0"/>
          <w:sz w:val="24"/>
          <w:szCs w:val="24"/>
        </w:rPr>
        <w:t xml:space="preserve">г. в размере </w:t>
      </w:r>
      <w:r w:rsidR="007255F5">
        <w:rPr>
          <w:b w:val="0"/>
          <w:sz w:val="24"/>
          <w:szCs w:val="24"/>
        </w:rPr>
        <w:t>530</w:t>
      </w:r>
      <w:r w:rsidR="00C91429"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A57071">
        <w:rPr>
          <w:b w:val="0"/>
          <w:sz w:val="24"/>
          <w:szCs w:val="24"/>
        </w:rPr>
        <w:t>2</w:t>
      </w:r>
      <w:r w:rsidRPr="00895EC4">
        <w:rPr>
          <w:b w:val="0"/>
          <w:sz w:val="24"/>
          <w:szCs w:val="24"/>
        </w:rPr>
        <w:t xml:space="preserve"> г. в размере </w:t>
      </w:r>
      <w:r w:rsidR="007255F5">
        <w:rPr>
          <w:b w:val="0"/>
          <w:sz w:val="24"/>
          <w:szCs w:val="24"/>
        </w:rPr>
        <w:t>550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A57071">
        <w:rPr>
          <w:b w:val="0"/>
          <w:sz w:val="24"/>
          <w:szCs w:val="24"/>
        </w:rPr>
        <w:t>3</w:t>
      </w:r>
      <w:r w:rsidRPr="00895EC4">
        <w:rPr>
          <w:b w:val="0"/>
          <w:sz w:val="24"/>
          <w:szCs w:val="24"/>
        </w:rPr>
        <w:t xml:space="preserve"> г. в размере</w:t>
      </w:r>
      <w:r w:rsidR="007255F5">
        <w:rPr>
          <w:b w:val="0"/>
          <w:sz w:val="24"/>
          <w:szCs w:val="24"/>
        </w:rPr>
        <w:t xml:space="preserve"> 570</w:t>
      </w:r>
      <w:r w:rsidRPr="00895EC4">
        <w:rPr>
          <w:b w:val="0"/>
          <w:sz w:val="24"/>
          <w:szCs w:val="24"/>
        </w:rPr>
        <w:t xml:space="preserve">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E90E01" w:rsidRPr="00895EC4" w:rsidRDefault="00C91429" w:rsidP="00C72AC7">
      <w:pPr>
        <w:pStyle w:val="BodyText21"/>
        <w:widowControl w:val="0"/>
        <w:tabs>
          <w:tab w:val="left" w:pos="709"/>
        </w:tabs>
        <w:rPr>
          <w:sz w:val="24"/>
          <w:szCs w:val="24"/>
        </w:rPr>
      </w:pPr>
      <w:r w:rsidRPr="00895EC4">
        <w:rPr>
          <w:b w:val="0"/>
          <w:sz w:val="24"/>
          <w:szCs w:val="24"/>
        </w:rPr>
        <w:t xml:space="preserve">Предоставление муниципальных гарантий </w:t>
      </w:r>
      <w:r w:rsidR="009A5EB2">
        <w:rPr>
          <w:b w:val="0"/>
          <w:sz w:val="24"/>
          <w:szCs w:val="24"/>
        </w:rPr>
        <w:t>Знаменским</w:t>
      </w:r>
      <w:r w:rsidR="00153859">
        <w:rPr>
          <w:b w:val="0"/>
          <w:sz w:val="24"/>
          <w:szCs w:val="24"/>
        </w:rPr>
        <w:t xml:space="preserve"> </w:t>
      </w:r>
      <w:r w:rsidR="004E3333">
        <w:rPr>
          <w:b w:val="0"/>
          <w:sz w:val="24"/>
          <w:szCs w:val="24"/>
        </w:rPr>
        <w:t>муниципальным образованием</w:t>
      </w:r>
      <w:r w:rsidRPr="00895EC4">
        <w:rPr>
          <w:b w:val="0"/>
          <w:sz w:val="24"/>
          <w:szCs w:val="24"/>
        </w:rPr>
        <w:t xml:space="preserve"> в 20</w:t>
      </w:r>
      <w:r w:rsidR="00F0378B">
        <w:rPr>
          <w:b w:val="0"/>
          <w:sz w:val="24"/>
          <w:szCs w:val="24"/>
        </w:rPr>
        <w:t>2</w:t>
      </w:r>
      <w:r w:rsidR="00A57071">
        <w:rPr>
          <w:b w:val="0"/>
          <w:sz w:val="24"/>
          <w:szCs w:val="24"/>
        </w:rPr>
        <w:t>1</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A57071">
        <w:rPr>
          <w:b w:val="0"/>
          <w:sz w:val="24"/>
          <w:szCs w:val="24"/>
        </w:rPr>
        <w:t>2</w:t>
      </w:r>
      <w:r w:rsidRPr="00895EC4">
        <w:rPr>
          <w:b w:val="0"/>
          <w:sz w:val="24"/>
          <w:szCs w:val="24"/>
        </w:rPr>
        <w:t xml:space="preserve"> и 20</w:t>
      </w:r>
      <w:r w:rsidR="00D72646">
        <w:rPr>
          <w:b w:val="0"/>
          <w:sz w:val="24"/>
          <w:szCs w:val="24"/>
        </w:rPr>
        <w:t>2</w:t>
      </w:r>
      <w:r w:rsidR="00A57071">
        <w:rPr>
          <w:b w:val="0"/>
          <w:sz w:val="24"/>
          <w:szCs w:val="24"/>
        </w:rPr>
        <w:t>3</w:t>
      </w:r>
      <w:r w:rsidRPr="00895EC4">
        <w:rPr>
          <w:b w:val="0"/>
          <w:sz w:val="24"/>
          <w:szCs w:val="24"/>
        </w:rPr>
        <w:t xml:space="preserve"> г</w:t>
      </w:r>
      <w:r w:rsidR="00CB4503">
        <w:rPr>
          <w:b w:val="0"/>
          <w:sz w:val="24"/>
          <w:szCs w:val="24"/>
        </w:rPr>
        <w:t>одов</w:t>
      </w:r>
      <w:r w:rsidRPr="00895EC4">
        <w:rPr>
          <w:b w:val="0"/>
          <w:sz w:val="24"/>
          <w:szCs w:val="24"/>
        </w:rPr>
        <w:t xml:space="preserve"> не </w:t>
      </w:r>
      <w:r w:rsidR="00C72AC7">
        <w:rPr>
          <w:b w:val="0"/>
          <w:sz w:val="24"/>
          <w:szCs w:val="24"/>
        </w:rPr>
        <w:t>планируется.</w:t>
      </w:r>
    </w:p>
    <w:p w:rsidR="00DE6C8F" w:rsidRDefault="00DE6C8F" w:rsidP="00C91429">
      <w:pPr>
        <w:widowControl w:val="0"/>
        <w:numPr>
          <w:ilvl w:val="12"/>
          <w:numId w:val="0"/>
        </w:numPr>
        <w:ind w:firstLine="720"/>
        <w:jc w:val="center"/>
        <w:rPr>
          <w:b/>
        </w:rPr>
      </w:pPr>
    </w:p>
    <w:p w:rsidR="00C91429" w:rsidRPr="00AA04FE" w:rsidRDefault="00C91429" w:rsidP="00C91429">
      <w:pPr>
        <w:widowControl w:val="0"/>
        <w:numPr>
          <w:ilvl w:val="12"/>
          <w:numId w:val="0"/>
        </w:numPr>
        <w:ind w:firstLine="720"/>
        <w:jc w:val="center"/>
      </w:pPr>
      <w:r w:rsidRPr="00AA04FE">
        <w:t>Основные выводы, рекомендации:</w:t>
      </w: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9A5EB2">
        <w:t>Знаменского</w:t>
      </w:r>
      <w:r w:rsidR="0000549E">
        <w:t xml:space="preserve"> </w:t>
      </w:r>
      <w:r w:rsidR="007255F5" w:rsidRPr="007255F5">
        <w:t>муниципального образования</w:t>
      </w:r>
      <w:r w:rsidR="007255F5">
        <w:rPr>
          <w:rFonts w:eastAsia="TimesNewRomanPSMT"/>
        </w:rPr>
        <w:t xml:space="preserve"> </w:t>
      </w:r>
      <w:r w:rsidR="00803359">
        <w:rPr>
          <w:rFonts w:eastAsia="TimesNewRomanPSMT"/>
        </w:rPr>
        <w:t xml:space="preserve">на </w:t>
      </w:r>
      <w:r w:rsidR="007965C5">
        <w:rPr>
          <w:rFonts w:eastAsia="TimesNewRomanPSMT"/>
        </w:rPr>
        <w:t>2021 год и плановый период 2022 и 2023 годов</w:t>
      </w:r>
      <w:r w:rsidR="009E6291" w:rsidRPr="00521E70">
        <w:t xml:space="preserve">» внесен на рассмотрение в Думу </w:t>
      </w:r>
      <w:r w:rsidR="009A5EB2">
        <w:t>Знаменского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w:t>
      </w:r>
      <w:r w:rsidR="00BF73BD">
        <w:t xml:space="preserve"> на 2021 год и плановый период 2022</w:t>
      </w:r>
      <w:r w:rsidR="004E3333">
        <w:t xml:space="preserve"> и </w:t>
      </w:r>
      <w:r w:rsidR="00BF73BD">
        <w:t>2023 годов</w:t>
      </w:r>
      <w:r w:rsidR="00E771B2" w:rsidRPr="008B1DF8">
        <w:t xml:space="preserve">: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 xml:space="preserve">и материалы </w:t>
      </w:r>
      <w:r w:rsidR="00B57DA6">
        <w:t>к</w:t>
      </w:r>
      <w:r w:rsidR="00E771B2" w:rsidRPr="00645CD8">
        <w:t xml:space="preserve"> проект</w:t>
      </w:r>
      <w:r w:rsidR="00B57DA6">
        <w:t>у</w:t>
      </w:r>
      <w:r w:rsidR="00E771B2" w:rsidRPr="00645CD8">
        <w:t xml:space="preserve">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61045A" w:rsidRPr="0061045A" w:rsidRDefault="00812723" w:rsidP="0061045A">
      <w:pPr>
        <w:autoSpaceDE w:val="0"/>
        <w:autoSpaceDN w:val="0"/>
        <w:adjustRightInd w:val="0"/>
        <w:ind w:firstLine="720"/>
        <w:jc w:val="both"/>
      </w:pPr>
      <w:r>
        <w:t>5.</w:t>
      </w:r>
      <w:r w:rsidR="00B57DA6">
        <w:t xml:space="preserve"> </w:t>
      </w:r>
      <w:r w:rsidR="005D5345" w:rsidRPr="0061045A">
        <w:t xml:space="preserve">В нарушение </w:t>
      </w:r>
      <w:r w:rsidR="0061045A" w:rsidRPr="0061045A">
        <w:t>статьи 184.2 БК РФ разработаны основные направления бюджетной политики и основные направления налоговой политики Знаменского муниципального образования на 2021 год и на плановый период 2022 и 2023 годов.</w:t>
      </w:r>
    </w:p>
    <w:p w:rsidR="005D5345" w:rsidRPr="005D5345" w:rsidRDefault="005D5345" w:rsidP="00531C4F">
      <w:pPr>
        <w:tabs>
          <w:tab w:val="left" w:pos="709"/>
        </w:tabs>
        <w:ind w:firstLine="709"/>
        <w:jc w:val="both"/>
      </w:pPr>
      <w:r w:rsidRPr="005D5345">
        <w:t xml:space="preserve">6. В нарушение Приказа Минфина России от 8 июня 2020 № 99н «Об утверждении кодов (перечней кодов) бюджетной классификации Российской Федерации на 2021 год (на 2021 год и на плановый период 2022 и 2023 годов)» установлены коды доходов в </w:t>
      </w:r>
      <w:r w:rsidR="00B57DA6" w:rsidRPr="005D5345">
        <w:t>Реестр</w:t>
      </w:r>
      <w:r w:rsidRPr="005D5345">
        <w:t>е</w:t>
      </w:r>
      <w:r w:rsidR="00B57DA6" w:rsidRPr="005D5345">
        <w:t xml:space="preserve"> источников доходов </w:t>
      </w:r>
      <w:r w:rsidR="009A5EB2">
        <w:t>Знаменского</w:t>
      </w:r>
      <w:r w:rsidRPr="005D5345">
        <w:t xml:space="preserve"> сельского поселения на 2021 год и плановый период 2022 и 2023 годов</w:t>
      </w:r>
      <w:r>
        <w:t>.</w:t>
      </w:r>
      <w:r w:rsidRPr="005D5345">
        <w:t xml:space="preserve"> </w:t>
      </w:r>
    </w:p>
    <w:p w:rsidR="003505DC" w:rsidRPr="003505DC" w:rsidRDefault="003505DC" w:rsidP="006E2C82">
      <w:pPr>
        <w:autoSpaceDE w:val="0"/>
        <w:autoSpaceDN w:val="0"/>
        <w:adjustRightInd w:val="0"/>
        <w:ind w:firstLine="567"/>
        <w:jc w:val="both"/>
      </w:pPr>
      <w:r>
        <w:t xml:space="preserve">7. </w:t>
      </w:r>
      <w:r w:rsidRPr="003505DC">
        <w:t>В нарушение требований абзаца 2 пункта 4 статьи 173 БК РФ  пояснительная записка к Прогнозу социально-экономического развития Знаменского МО на 2021-2023гг. не содержит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E7A55" w:rsidRPr="00BE7A55" w:rsidRDefault="00BC1F79" w:rsidP="006E2C82">
      <w:pPr>
        <w:autoSpaceDE w:val="0"/>
        <w:autoSpaceDN w:val="0"/>
        <w:adjustRightInd w:val="0"/>
        <w:ind w:firstLine="567"/>
        <w:jc w:val="both"/>
      </w:pPr>
      <w:r>
        <w:t xml:space="preserve">8. </w:t>
      </w:r>
      <w:r w:rsidR="00BE7A55" w:rsidRPr="00BE7A55">
        <w:t>Представленные показатели ожидаемой оценки исполнения бюджета Знаменского сельского поселения в 2020 году не корректны: по доходам (расхождение данных на 9006,8 тыс. руб</w:t>
      </w:r>
      <w:r w:rsidR="00BE7A55">
        <w:t>.</w:t>
      </w:r>
      <w:r w:rsidR="00BE7A55" w:rsidRPr="00BE7A55">
        <w:t>), по расходам (расхождение данных на 12 тыс. руб.).</w:t>
      </w:r>
    </w:p>
    <w:p w:rsidR="00BC1F79" w:rsidRPr="003146D6" w:rsidRDefault="00BE7A55" w:rsidP="006E2C82">
      <w:pPr>
        <w:autoSpaceDE w:val="0"/>
        <w:autoSpaceDN w:val="0"/>
        <w:adjustRightInd w:val="0"/>
        <w:ind w:firstLine="567"/>
        <w:jc w:val="both"/>
      </w:pPr>
      <w:r w:rsidRPr="003146D6">
        <w:t>9. Наименование раздела 1300 «Обслуживание государственного (муниципального) долга» и наименование подраздела 1301 «Обслуживание государственного</w:t>
      </w:r>
      <w:r w:rsidR="00AA04FE">
        <w:t xml:space="preserve"> </w:t>
      </w:r>
      <w:r w:rsidRPr="003146D6">
        <w:t>(муниципального) внутреннего долга»</w:t>
      </w:r>
      <w:r w:rsidRPr="003146D6">
        <w:rPr>
          <w:bCs/>
        </w:rPr>
        <w:t xml:space="preserve"> в приложениях к проекту бюджета требуется привести в соответствие </w:t>
      </w:r>
      <w:r w:rsidR="00BC1F79" w:rsidRPr="003146D6">
        <w:t xml:space="preserve">с </w:t>
      </w:r>
      <w:r w:rsidR="004E2BF3" w:rsidRPr="003146D6">
        <w:t>Приказом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w:t>
      </w:r>
      <w:r w:rsidR="00BC1F79" w:rsidRPr="003146D6">
        <w:t>.</w:t>
      </w: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9A5EB2">
        <w:t>Знаменского</w:t>
      </w:r>
      <w:r>
        <w:t xml:space="preserve"> сельского поселения</w:t>
      </w:r>
      <w:r w:rsidRPr="00521E70">
        <w:t xml:space="preserve"> «О бюджете </w:t>
      </w:r>
      <w:r w:rsidR="009A5EB2">
        <w:t>Знаменского</w:t>
      </w:r>
      <w:r>
        <w:t xml:space="preserve"> </w:t>
      </w:r>
      <w:r w:rsidR="00523166">
        <w:t>муниципального образования</w:t>
      </w:r>
      <w:r w:rsidRPr="00521E70">
        <w:t xml:space="preserve"> </w:t>
      </w:r>
      <w:r w:rsidR="00803359">
        <w:t xml:space="preserve">на </w:t>
      </w:r>
      <w:r w:rsidR="007965C5">
        <w:t>2021 год и плановый период 2022 и 2023 годов</w:t>
      </w:r>
      <w:r w:rsidRPr="00521E70">
        <w:t>»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04418" w:rsidRDefault="00404418" w:rsidP="00D43127">
      <w:pPr>
        <w:widowControl w:val="0"/>
        <w:jc w:val="both"/>
        <w:outlineLvl w:val="0"/>
      </w:pPr>
    </w:p>
    <w:p w:rsidR="00483B29"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483B29" w:rsidSect="005811FF">
      <w:headerReference w:type="even" r:id="rId8"/>
      <w:head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DD5" w:rsidRDefault="00F04DD5" w:rsidP="00645CD8">
      <w:r>
        <w:separator/>
      </w:r>
    </w:p>
  </w:endnote>
  <w:endnote w:type="continuationSeparator" w:id="1">
    <w:p w:rsidR="00F04DD5" w:rsidRDefault="00F04DD5"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DD5" w:rsidRDefault="00F04DD5" w:rsidP="00645CD8">
      <w:r>
        <w:separator/>
      </w:r>
    </w:p>
  </w:footnote>
  <w:footnote w:type="continuationSeparator" w:id="1">
    <w:p w:rsidR="00F04DD5" w:rsidRDefault="00F04DD5"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1E" w:rsidRDefault="006F6DF3" w:rsidP="002B637C">
    <w:pPr>
      <w:pStyle w:val="aff2"/>
      <w:framePr w:wrap="around" w:vAnchor="text" w:hAnchor="margin" w:xAlign="right" w:y="1"/>
      <w:rPr>
        <w:rStyle w:val="aff4"/>
      </w:rPr>
    </w:pPr>
    <w:r>
      <w:rPr>
        <w:rStyle w:val="aff4"/>
      </w:rPr>
      <w:fldChar w:fldCharType="begin"/>
    </w:r>
    <w:r w:rsidR="00E85B1E">
      <w:rPr>
        <w:rStyle w:val="aff4"/>
      </w:rPr>
      <w:instrText xml:space="preserve">PAGE  </w:instrText>
    </w:r>
    <w:r>
      <w:rPr>
        <w:rStyle w:val="aff4"/>
      </w:rPr>
      <w:fldChar w:fldCharType="end"/>
    </w:r>
  </w:p>
  <w:p w:rsidR="00E85B1E" w:rsidRDefault="00E85B1E"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B1E" w:rsidRDefault="006F6DF3">
    <w:pPr>
      <w:pStyle w:val="aff2"/>
      <w:jc w:val="right"/>
    </w:pPr>
    <w:fldSimple w:instr=" PAGE   \* MERGEFORMAT ">
      <w:r w:rsidR="00F04DD5">
        <w:rPr>
          <w:noProof/>
        </w:rPr>
        <w:t>1</w:t>
      </w:r>
    </w:fldSimple>
  </w:p>
  <w:p w:rsidR="00E85B1E" w:rsidRDefault="00E85B1E"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43"/>
    <w:rsid w:val="000241E0"/>
    <w:rsid w:val="000265FB"/>
    <w:rsid w:val="00026E77"/>
    <w:rsid w:val="00031320"/>
    <w:rsid w:val="00032F5A"/>
    <w:rsid w:val="00033467"/>
    <w:rsid w:val="0003346E"/>
    <w:rsid w:val="00034486"/>
    <w:rsid w:val="0003459B"/>
    <w:rsid w:val="00035527"/>
    <w:rsid w:val="00035E7C"/>
    <w:rsid w:val="00036454"/>
    <w:rsid w:val="00040D10"/>
    <w:rsid w:val="000414CD"/>
    <w:rsid w:val="00042FCF"/>
    <w:rsid w:val="00043977"/>
    <w:rsid w:val="00044064"/>
    <w:rsid w:val="00044C96"/>
    <w:rsid w:val="00046618"/>
    <w:rsid w:val="00047FDB"/>
    <w:rsid w:val="00050193"/>
    <w:rsid w:val="00050FBC"/>
    <w:rsid w:val="0005107B"/>
    <w:rsid w:val="000521A1"/>
    <w:rsid w:val="00053D62"/>
    <w:rsid w:val="0005413C"/>
    <w:rsid w:val="000542FF"/>
    <w:rsid w:val="000547B0"/>
    <w:rsid w:val="00054904"/>
    <w:rsid w:val="00054A45"/>
    <w:rsid w:val="0005537D"/>
    <w:rsid w:val="00055FFA"/>
    <w:rsid w:val="000562F7"/>
    <w:rsid w:val="00056F0D"/>
    <w:rsid w:val="000576BB"/>
    <w:rsid w:val="0006007E"/>
    <w:rsid w:val="00060BA1"/>
    <w:rsid w:val="000618E7"/>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7028"/>
    <w:rsid w:val="000871E3"/>
    <w:rsid w:val="000909E5"/>
    <w:rsid w:val="00092964"/>
    <w:rsid w:val="00095573"/>
    <w:rsid w:val="0009602F"/>
    <w:rsid w:val="000968D9"/>
    <w:rsid w:val="00096BA2"/>
    <w:rsid w:val="000A072E"/>
    <w:rsid w:val="000A1214"/>
    <w:rsid w:val="000A1B57"/>
    <w:rsid w:val="000A390A"/>
    <w:rsid w:val="000A434D"/>
    <w:rsid w:val="000A4FCB"/>
    <w:rsid w:val="000A7E1A"/>
    <w:rsid w:val="000A7F43"/>
    <w:rsid w:val="000B2884"/>
    <w:rsid w:val="000B2A6A"/>
    <w:rsid w:val="000B304E"/>
    <w:rsid w:val="000B3852"/>
    <w:rsid w:val="000B627F"/>
    <w:rsid w:val="000B774E"/>
    <w:rsid w:val="000C0262"/>
    <w:rsid w:val="000C13EF"/>
    <w:rsid w:val="000C1609"/>
    <w:rsid w:val="000C2594"/>
    <w:rsid w:val="000C276D"/>
    <w:rsid w:val="000C3D04"/>
    <w:rsid w:val="000C4113"/>
    <w:rsid w:val="000C57EE"/>
    <w:rsid w:val="000C65B2"/>
    <w:rsid w:val="000C6AF0"/>
    <w:rsid w:val="000C7128"/>
    <w:rsid w:val="000D1B29"/>
    <w:rsid w:val="000D413E"/>
    <w:rsid w:val="000D4CE1"/>
    <w:rsid w:val="000D639B"/>
    <w:rsid w:val="000D693C"/>
    <w:rsid w:val="000D6ADC"/>
    <w:rsid w:val="000E0B33"/>
    <w:rsid w:val="000E11F3"/>
    <w:rsid w:val="000E2BA9"/>
    <w:rsid w:val="000E3287"/>
    <w:rsid w:val="000E373F"/>
    <w:rsid w:val="000E3F32"/>
    <w:rsid w:val="000E4D9A"/>
    <w:rsid w:val="000E6383"/>
    <w:rsid w:val="000E727A"/>
    <w:rsid w:val="000E7BF7"/>
    <w:rsid w:val="000F043A"/>
    <w:rsid w:val="000F0924"/>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3F36"/>
    <w:rsid w:val="00126ADC"/>
    <w:rsid w:val="00126EAC"/>
    <w:rsid w:val="00127153"/>
    <w:rsid w:val="00130749"/>
    <w:rsid w:val="00130B92"/>
    <w:rsid w:val="001314D0"/>
    <w:rsid w:val="00131F0A"/>
    <w:rsid w:val="0013292B"/>
    <w:rsid w:val="00132A06"/>
    <w:rsid w:val="00137EE6"/>
    <w:rsid w:val="001401C4"/>
    <w:rsid w:val="001414DD"/>
    <w:rsid w:val="001448E4"/>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DFF"/>
    <w:rsid w:val="00167A94"/>
    <w:rsid w:val="001708BD"/>
    <w:rsid w:val="001710E1"/>
    <w:rsid w:val="00171264"/>
    <w:rsid w:val="00172085"/>
    <w:rsid w:val="00172D24"/>
    <w:rsid w:val="001732F2"/>
    <w:rsid w:val="00175FFF"/>
    <w:rsid w:val="0017693E"/>
    <w:rsid w:val="00177E78"/>
    <w:rsid w:val="00181006"/>
    <w:rsid w:val="00182699"/>
    <w:rsid w:val="00182F29"/>
    <w:rsid w:val="001836A9"/>
    <w:rsid w:val="00184555"/>
    <w:rsid w:val="00184CBC"/>
    <w:rsid w:val="001861EF"/>
    <w:rsid w:val="001867E1"/>
    <w:rsid w:val="00190379"/>
    <w:rsid w:val="001903A0"/>
    <w:rsid w:val="00190665"/>
    <w:rsid w:val="00190EAC"/>
    <w:rsid w:val="0019153F"/>
    <w:rsid w:val="0019164B"/>
    <w:rsid w:val="00192DF0"/>
    <w:rsid w:val="0019316A"/>
    <w:rsid w:val="00194FB0"/>
    <w:rsid w:val="00196F78"/>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7185"/>
    <w:rsid w:val="001C1093"/>
    <w:rsid w:val="001C4041"/>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1DA0"/>
    <w:rsid w:val="001F2E0F"/>
    <w:rsid w:val="001F35BC"/>
    <w:rsid w:val="001F39A9"/>
    <w:rsid w:val="001F3B6E"/>
    <w:rsid w:val="001F4451"/>
    <w:rsid w:val="001F54A9"/>
    <w:rsid w:val="001F557E"/>
    <w:rsid w:val="001F5C16"/>
    <w:rsid w:val="001F7DE3"/>
    <w:rsid w:val="0020015F"/>
    <w:rsid w:val="00201521"/>
    <w:rsid w:val="0020231F"/>
    <w:rsid w:val="0020276A"/>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174D6"/>
    <w:rsid w:val="00220DD4"/>
    <w:rsid w:val="00221654"/>
    <w:rsid w:val="0022485E"/>
    <w:rsid w:val="00225144"/>
    <w:rsid w:val="00225359"/>
    <w:rsid w:val="00225AF6"/>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71CD5"/>
    <w:rsid w:val="00274A96"/>
    <w:rsid w:val="00274B68"/>
    <w:rsid w:val="00275CAA"/>
    <w:rsid w:val="0027613F"/>
    <w:rsid w:val="0027667A"/>
    <w:rsid w:val="0027687B"/>
    <w:rsid w:val="0027691C"/>
    <w:rsid w:val="00276C66"/>
    <w:rsid w:val="00276D56"/>
    <w:rsid w:val="00277461"/>
    <w:rsid w:val="002810FB"/>
    <w:rsid w:val="002813E3"/>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38CD"/>
    <w:rsid w:val="00294BF0"/>
    <w:rsid w:val="00294D88"/>
    <w:rsid w:val="0029518A"/>
    <w:rsid w:val="00295790"/>
    <w:rsid w:val="002969BF"/>
    <w:rsid w:val="00297007"/>
    <w:rsid w:val="002A05AB"/>
    <w:rsid w:val="002A1A24"/>
    <w:rsid w:val="002A327E"/>
    <w:rsid w:val="002A388D"/>
    <w:rsid w:val="002A534E"/>
    <w:rsid w:val="002A6EE4"/>
    <w:rsid w:val="002A78BB"/>
    <w:rsid w:val="002A7EBC"/>
    <w:rsid w:val="002B0077"/>
    <w:rsid w:val="002B1E8B"/>
    <w:rsid w:val="002B3228"/>
    <w:rsid w:val="002B4DD4"/>
    <w:rsid w:val="002B6228"/>
    <w:rsid w:val="002B637C"/>
    <w:rsid w:val="002B6469"/>
    <w:rsid w:val="002C0737"/>
    <w:rsid w:val="002C19C5"/>
    <w:rsid w:val="002C33A8"/>
    <w:rsid w:val="002C413E"/>
    <w:rsid w:val="002C41F6"/>
    <w:rsid w:val="002C4A19"/>
    <w:rsid w:val="002C4AC9"/>
    <w:rsid w:val="002C5BA2"/>
    <w:rsid w:val="002D0DE1"/>
    <w:rsid w:val="002D21D4"/>
    <w:rsid w:val="002D2A24"/>
    <w:rsid w:val="002D4B0B"/>
    <w:rsid w:val="002D4ED3"/>
    <w:rsid w:val="002D68C0"/>
    <w:rsid w:val="002E1E04"/>
    <w:rsid w:val="002E2A41"/>
    <w:rsid w:val="002E44B4"/>
    <w:rsid w:val="002E46F5"/>
    <w:rsid w:val="002E5865"/>
    <w:rsid w:val="002E6276"/>
    <w:rsid w:val="002E63AF"/>
    <w:rsid w:val="002E6EB1"/>
    <w:rsid w:val="002F33D7"/>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6AE5"/>
    <w:rsid w:val="00306C81"/>
    <w:rsid w:val="0030716A"/>
    <w:rsid w:val="00310024"/>
    <w:rsid w:val="00310260"/>
    <w:rsid w:val="0031175E"/>
    <w:rsid w:val="00311E1B"/>
    <w:rsid w:val="00312CBA"/>
    <w:rsid w:val="0031306F"/>
    <w:rsid w:val="003134B5"/>
    <w:rsid w:val="0031390C"/>
    <w:rsid w:val="003146D6"/>
    <w:rsid w:val="0031509C"/>
    <w:rsid w:val="003158A5"/>
    <w:rsid w:val="003159BC"/>
    <w:rsid w:val="00315E8A"/>
    <w:rsid w:val="00317EFB"/>
    <w:rsid w:val="00321459"/>
    <w:rsid w:val="00321FDA"/>
    <w:rsid w:val="003223C5"/>
    <w:rsid w:val="00324772"/>
    <w:rsid w:val="00325613"/>
    <w:rsid w:val="003260BE"/>
    <w:rsid w:val="00331CFC"/>
    <w:rsid w:val="003324C6"/>
    <w:rsid w:val="00335D6E"/>
    <w:rsid w:val="00336FA6"/>
    <w:rsid w:val="00340449"/>
    <w:rsid w:val="00340627"/>
    <w:rsid w:val="00340FCD"/>
    <w:rsid w:val="003412ED"/>
    <w:rsid w:val="003415F2"/>
    <w:rsid w:val="00341658"/>
    <w:rsid w:val="003444E3"/>
    <w:rsid w:val="0034478D"/>
    <w:rsid w:val="0034491A"/>
    <w:rsid w:val="003459C9"/>
    <w:rsid w:val="00345EB5"/>
    <w:rsid w:val="003505DC"/>
    <w:rsid w:val="00353218"/>
    <w:rsid w:val="003536F9"/>
    <w:rsid w:val="00354FBD"/>
    <w:rsid w:val="003558B0"/>
    <w:rsid w:val="00355FDE"/>
    <w:rsid w:val="00357E2B"/>
    <w:rsid w:val="003610DB"/>
    <w:rsid w:val="003655A5"/>
    <w:rsid w:val="00365A84"/>
    <w:rsid w:val="00365BF4"/>
    <w:rsid w:val="00365F17"/>
    <w:rsid w:val="00366489"/>
    <w:rsid w:val="00367358"/>
    <w:rsid w:val="00367CBA"/>
    <w:rsid w:val="00367F89"/>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9DC"/>
    <w:rsid w:val="0039068B"/>
    <w:rsid w:val="00390C6C"/>
    <w:rsid w:val="003925B2"/>
    <w:rsid w:val="00393272"/>
    <w:rsid w:val="00393ADE"/>
    <w:rsid w:val="00393CA5"/>
    <w:rsid w:val="003944DF"/>
    <w:rsid w:val="00395CA7"/>
    <w:rsid w:val="00395E5A"/>
    <w:rsid w:val="0039610E"/>
    <w:rsid w:val="003963F2"/>
    <w:rsid w:val="0039671B"/>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51AD"/>
    <w:rsid w:val="003D59F1"/>
    <w:rsid w:val="003D6522"/>
    <w:rsid w:val="003D7A7F"/>
    <w:rsid w:val="003E0888"/>
    <w:rsid w:val="003E2CB7"/>
    <w:rsid w:val="003E34D0"/>
    <w:rsid w:val="003E3D47"/>
    <w:rsid w:val="003E428E"/>
    <w:rsid w:val="003E599C"/>
    <w:rsid w:val="003E5CC2"/>
    <w:rsid w:val="003E61EF"/>
    <w:rsid w:val="003E78ED"/>
    <w:rsid w:val="003F1BA2"/>
    <w:rsid w:val="003F3669"/>
    <w:rsid w:val="003F3D6E"/>
    <w:rsid w:val="003F50CD"/>
    <w:rsid w:val="003F5847"/>
    <w:rsid w:val="003F6A13"/>
    <w:rsid w:val="003F736E"/>
    <w:rsid w:val="003F7608"/>
    <w:rsid w:val="003F7A39"/>
    <w:rsid w:val="004004FC"/>
    <w:rsid w:val="0040109B"/>
    <w:rsid w:val="00401E41"/>
    <w:rsid w:val="00403767"/>
    <w:rsid w:val="00403BFA"/>
    <w:rsid w:val="004042C4"/>
    <w:rsid w:val="00404418"/>
    <w:rsid w:val="00404F82"/>
    <w:rsid w:val="0040567A"/>
    <w:rsid w:val="004068CA"/>
    <w:rsid w:val="00406FCE"/>
    <w:rsid w:val="00407158"/>
    <w:rsid w:val="00407B45"/>
    <w:rsid w:val="004101C5"/>
    <w:rsid w:val="004104B7"/>
    <w:rsid w:val="004122E7"/>
    <w:rsid w:val="004159B9"/>
    <w:rsid w:val="0041678D"/>
    <w:rsid w:val="00416E5B"/>
    <w:rsid w:val="00417057"/>
    <w:rsid w:val="00422BC3"/>
    <w:rsid w:val="00422EBE"/>
    <w:rsid w:val="00423A44"/>
    <w:rsid w:val="00424510"/>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66BF"/>
    <w:rsid w:val="004566ED"/>
    <w:rsid w:val="00457386"/>
    <w:rsid w:val="004575EE"/>
    <w:rsid w:val="00462578"/>
    <w:rsid w:val="00462800"/>
    <w:rsid w:val="004632D0"/>
    <w:rsid w:val="00463AB1"/>
    <w:rsid w:val="00463B01"/>
    <w:rsid w:val="0046402B"/>
    <w:rsid w:val="00464837"/>
    <w:rsid w:val="004655E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7883"/>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60A5"/>
    <w:rsid w:val="005174A6"/>
    <w:rsid w:val="0052131D"/>
    <w:rsid w:val="00521DD3"/>
    <w:rsid w:val="00523166"/>
    <w:rsid w:val="00523BB5"/>
    <w:rsid w:val="00523EA5"/>
    <w:rsid w:val="00523F22"/>
    <w:rsid w:val="00524A9E"/>
    <w:rsid w:val="00524FA0"/>
    <w:rsid w:val="00525343"/>
    <w:rsid w:val="00527527"/>
    <w:rsid w:val="00527990"/>
    <w:rsid w:val="00530930"/>
    <w:rsid w:val="00531260"/>
    <w:rsid w:val="005314D2"/>
    <w:rsid w:val="00531C4F"/>
    <w:rsid w:val="00532514"/>
    <w:rsid w:val="00535EF4"/>
    <w:rsid w:val="00536A66"/>
    <w:rsid w:val="00536E78"/>
    <w:rsid w:val="00540A23"/>
    <w:rsid w:val="0054256C"/>
    <w:rsid w:val="00542D98"/>
    <w:rsid w:val="00542DC2"/>
    <w:rsid w:val="00543A57"/>
    <w:rsid w:val="0054537F"/>
    <w:rsid w:val="0054559E"/>
    <w:rsid w:val="0054611C"/>
    <w:rsid w:val="00546C4B"/>
    <w:rsid w:val="005478C1"/>
    <w:rsid w:val="00550334"/>
    <w:rsid w:val="00550D4A"/>
    <w:rsid w:val="00551714"/>
    <w:rsid w:val="00551AD5"/>
    <w:rsid w:val="00553155"/>
    <w:rsid w:val="0055394F"/>
    <w:rsid w:val="00553F51"/>
    <w:rsid w:val="00554AED"/>
    <w:rsid w:val="00554D27"/>
    <w:rsid w:val="0055598D"/>
    <w:rsid w:val="00555C65"/>
    <w:rsid w:val="00555FAC"/>
    <w:rsid w:val="005579C9"/>
    <w:rsid w:val="0056005B"/>
    <w:rsid w:val="00560299"/>
    <w:rsid w:val="00560732"/>
    <w:rsid w:val="00560C47"/>
    <w:rsid w:val="00562834"/>
    <w:rsid w:val="00562D4E"/>
    <w:rsid w:val="00563BBC"/>
    <w:rsid w:val="00563DDE"/>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1FF"/>
    <w:rsid w:val="005844E4"/>
    <w:rsid w:val="005844FD"/>
    <w:rsid w:val="00584E41"/>
    <w:rsid w:val="0058514C"/>
    <w:rsid w:val="00586E4E"/>
    <w:rsid w:val="00593D39"/>
    <w:rsid w:val="005944C6"/>
    <w:rsid w:val="00594D2A"/>
    <w:rsid w:val="0059504F"/>
    <w:rsid w:val="0059537F"/>
    <w:rsid w:val="00595634"/>
    <w:rsid w:val="00595749"/>
    <w:rsid w:val="00596080"/>
    <w:rsid w:val="0059752A"/>
    <w:rsid w:val="005A13E5"/>
    <w:rsid w:val="005A1BDD"/>
    <w:rsid w:val="005A2010"/>
    <w:rsid w:val="005A31DE"/>
    <w:rsid w:val="005A4DF9"/>
    <w:rsid w:val="005A518E"/>
    <w:rsid w:val="005A5A30"/>
    <w:rsid w:val="005A601A"/>
    <w:rsid w:val="005A75D9"/>
    <w:rsid w:val="005A7AB7"/>
    <w:rsid w:val="005B1ED8"/>
    <w:rsid w:val="005B2086"/>
    <w:rsid w:val="005B23E5"/>
    <w:rsid w:val="005B2C12"/>
    <w:rsid w:val="005B3D37"/>
    <w:rsid w:val="005B470E"/>
    <w:rsid w:val="005B6949"/>
    <w:rsid w:val="005B7693"/>
    <w:rsid w:val="005B7B09"/>
    <w:rsid w:val="005C0509"/>
    <w:rsid w:val="005C0D98"/>
    <w:rsid w:val="005C3FCE"/>
    <w:rsid w:val="005C516D"/>
    <w:rsid w:val="005C5E39"/>
    <w:rsid w:val="005D1B99"/>
    <w:rsid w:val="005D1D37"/>
    <w:rsid w:val="005D2651"/>
    <w:rsid w:val="005D2957"/>
    <w:rsid w:val="005D2B37"/>
    <w:rsid w:val="005D3DB8"/>
    <w:rsid w:val="005D4863"/>
    <w:rsid w:val="005D51BA"/>
    <w:rsid w:val="005D5345"/>
    <w:rsid w:val="005E0975"/>
    <w:rsid w:val="005E0D36"/>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3CA"/>
    <w:rsid w:val="00607B74"/>
    <w:rsid w:val="00607C12"/>
    <w:rsid w:val="0061045A"/>
    <w:rsid w:val="00611157"/>
    <w:rsid w:val="00611D63"/>
    <w:rsid w:val="006135FE"/>
    <w:rsid w:val="00614D91"/>
    <w:rsid w:val="0061544D"/>
    <w:rsid w:val="00615D3D"/>
    <w:rsid w:val="00621111"/>
    <w:rsid w:val="00624ADA"/>
    <w:rsid w:val="00624C23"/>
    <w:rsid w:val="006252BD"/>
    <w:rsid w:val="006266C8"/>
    <w:rsid w:val="00626A17"/>
    <w:rsid w:val="00627C4B"/>
    <w:rsid w:val="00630549"/>
    <w:rsid w:val="0063278E"/>
    <w:rsid w:val="00632F49"/>
    <w:rsid w:val="0063334B"/>
    <w:rsid w:val="0063411C"/>
    <w:rsid w:val="00635C2D"/>
    <w:rsid w:val="00635EDA"/>
    <w:rsid w:val="0063788A"/>
    <w:rsid w:val="00641541"/>
    <w:rsid w:val="0064194D"/>
    <w:rsid w:val="00641987"/>
    <w:rsid w:val="00641F8C"/>
    <w:rsid w:val="00642C9F"/>
    <w:rsid w:val="00642CA6"/>
    <w:rsid w:val="00643E05"/>
    <w:rsid w:val="00645CD8"/>
    <w:rsid w:val="006469FD"/>
    <w:rsid w:val="00651878"/>
    <w:rsid w:val="00652708"/>
    <w:rsid w:val="0065324A"/>
    <w:rsid w:val="00653573"/>
    <w:rsid w:val="00655C9A"/>
    <w:rsid w:val="006568F3"/>
    <w:rsid w:val="00657F6C"/>
    <w:rsid w:val="006609B0"/>
    <w:rsid w:val="00661CE8"/>
    <w:rsid w:val="00664C6F"/>
    <w:rsid w:val="00664D6E"/>
    <w:rsid w:val="006661C7"/>
    <w:rsid w:val="0066622A"/>
    <w:rsid w:val="0067155B"/>
    <w:rsid w:val="0067170B"/>
    <w:rsid w:val="00671E41"/>
    <w:rsid w:val="00672FF2"/>
    <w:rsid w:val="006750D3"/>
    <w:rsid w:val="0067517D"/>
    <w:rsid w:val="00680092"/>
    <w:rsid w:val="00680921"/>
    <w:rsid w:val="00681C8B"/>
    <w:rsid w:val="0068202D"/>
    <w:rsid w:val="00682202"/>
    <w:rsid w:val="00682E39"/>
    <w:rsid w:val="006836AF"/>
    <w:rsid w:val="006843F4"/>
    <w:rsid w:val="00685027"/>
    <w:rsid w:val="00686034"/>
    <w:rsid w:val="006876CF"/>
    <w:rsid w:val="006923F7"/>
    <w:rsid w:val="00692C7A"/>
    <w:rsid w:val="00697773"/>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3C61"/>
    <w:rsid w:val="006B4DCC"/>
    <w:rsid w:val="006B5F47"/>
    <w:rsid w:val="006B68FA"/>
    <w:rsid w:val="006C047A"/>
    <w:rsid w:val="006C09FA"/>
    <w:rsid w:val="006C14EF"/>
    <w:rsid w:val="006C3B52"/>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E9B"/>
    <w:rsid w:val="006E2C82"/>
    <w:rsid w:val="006E3206"/>
    <w:rsid w:val="006E350D"/>
    <w:rsid w:val="006E3998"/>
    <w:rsid w:val="006E3BD8"/>
    <w:rsid w:val="006E46F7"/>
    <w:rsid w:val="006E4A27"/>
    <w:rsid w:val="006E6292"/>
    <w:rsid w:val="006F0F0D"/>
    <w:rsid w:val="006F3382"/>
    <w:rsid w:val="006F3C6A"/>
    <w:rsid w:val="006F3E60"/>
    <w:rsid w:val="006F5139"/>
    <w:rsid w:val="006F53B8"/>
    <w:rsid w:val="006F55A5"/>
    <w:rsid w:val="006F5F90"/>
    <w:rsid w:val="006F629B"/>
    <w:rsid w:val="006F6DF3"/>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21947"/>
    <w:rsid w:val="00722830"/>
    <w:rsid w:val="00723A38"/>
    <w:rsid w:val="00723CCA"/>
    <w:rsid w:val="00723F71"/>
    <w:rsid w:val="0072404F"/>
    <w:rsid w:val="00724533"/>
    <w:rsid w:val="00724B79"/>
    <w:rsid w:val="007255F5"/>
    <w:rsid w:val="00725BA6"/>
    <w:rsid w:val="0072616A"/>
    <w:rsid w:val="00726658"/>
    <w:rsid w:val="00730FD0"/>
    <w:rsid w:val="00732055"/>
    <w:rsid w:val="00732BBC"/>
    <w:rsid w:val="007342C5"/>
    <w:rsid w:val="0073485F"/>
    <w:rsid w:val="00734A70"/>
    <w:rsid w:val="00735DFC"/>
    <w:rsid w:val="00737C72"/>
    <w:rsid w:val="00740B4D"/>
    <w:rsid w:val="007413B9"/>
    <w:rsid w:val="007417E9"/>
    <w:rsid w:val="00744139"/>
    <w:rsid w:val="00744871"/>
    <w:rsid w:val="007450A5"/>
    <w:rsid w:val="007456A6"/>
    <w:rsid w:val="00745D94"/>
    <w:rsid w:val="007464B5"/>
    <w:rsid w:val="00747A28"/>
    <w:rsid w:val="00750B81"/>
    <w:rsid w:val="00750FE9"/>
    <w:rsid w:val="00754553"/>
    <w:rsid w:val="00755284"/>
    <w:rsid w:val="00757C44"/>
    <w:rsid w:val="007622F7"/>
    <w:rsid w:val="00762F1D"/>
    <w:rsid w:val="007639F9"/>
    <w:rsid w:val="00764545"/>
    <w:rsid w:val="00764986"/>
    <w:rsid w:val="007664C9"/>
    <w:rsid w:val="00766B2B"/>
    <w:rsid w:val="00766D54"/>
    <w:rsid w:val="007719CB"/>
    <w:rsid w:val="0077200F"/>
    <w:rsid w:val="00772059"/>
    <w:rsid w:val="007723FC"/>
    <w:rsid w:val="00774056"/>
    <w:rsid w:val="007746F9"/>
    <w:rsid w:val="00774830"/>
    <w:rsid w:val="00774D93"/>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61ED"/>
    <w:rsid w:val="007965C5"/>
    <w:rsid w:val="007A026D"/>
    <w:rsid w:val="007A0B58"/>
    <w:rsid w:val="007A2A1D"/>
    <w:rsid w:val="007A3C29"/>
    <w:rsid w:val="007A415D"/>
    <w:rsid w:val="007A4543"/>
    <w:rsid w:val="007A46E0"/>
    <w:rsid w:val="007A4BE3"/>
    <w:rsid w:val="007A5BD6"/>
    <w:rsid w:val="007A70A8"/>
    <w:rsid w:val="007A74C4"/>
    <w:rsid w:val="007A7D11"/>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E0FCE"/>
    <w:rsid w:val="007E21DC"/>
    <w:rsid w:val="007E28B8"/>
    <w:rsid w:val="007E2A34"/>
    <w:rsid w:val="007E2DC9"/>
    <w:rsid w:val="007E5C8A"/>
    <w:rsid w:val="007E6D2A"/>
    <w:rsid w:val="007F209B"/>
    <w:rsid w:val="007F27C6"/>
    <w:rsid w:val="007F3091"/>
    <w:rsid w:val="007F4841"/>
    <w:rsid w:val="007F4FA1"/>
    <w:rsid w:val="007F542A"/>
    <w:rsid w:val="007F7942"/>
    <w:rsid w:val="00800B3B"/>
    <w:rsid w:val="0080146A"/>
    <w:rsid w:val="00801B46"/>
    <w:rsid w:val="008023FA"/>
    <w:rsid w:val="0080317B"/>
    <w:rsid w:val="00803359"/>
    <w:rsid w:val="008042A7"/>
    <w:rsid w:val="008056C3"/>
    <w:rsid w:val="008066B8"/>
    <w:rsid w:val="00807797"/>
    <w:rsid w:val="0081052C"/>
    <w:rsid w:val="0081078F"/>
    <w:rsid w:val="00810CB9"/>
    <w:rsid w:val="00812723"/>
    <w:rsid w:val="0081511C"/>
    <w:rsid w:val="00815DBA"/>
    <w:rsid w:val="008167ED"/>
    <w:rsid w:val="00816E77"/>
    <w:rsid w:val="0082028F"/>
    <w:rsid w:val="008206BB"/>
    <w:rsid w:val="008223FD"/>
    <w:rsid w:val="008240E4"/>
    <w:rsid w:val="00824654"/>
    <w:rsid w:val="00825E30"/>
    <w:rsid w:val="00826150"/>
    <w:rsid w:val="00826527"/>
    <w:rsid w:val="008271CC"/>
    <w:rsid w:val="0082766B"/>
    <w:rsid w:val="0083030C"/>
    <w:rsid w:val="008316E2"/>
    <w:rsid w:val="00832194"/>
    <w:rsid w:val="00832FBF"/>
    <w:rsid w:val="00834051"/>
    <w:rsid w:val="00834B6D"/>
    <w:rsid w:val="00836F19"/>
    <w:rsid w:val="008371D7"/>
    <w:rsid w:val="0083755B"/>
    <w:rsid w:val="00837DC8"/>
    <w:rsid w:val="00840E1E"/>
    <w:rsid w:val="0084197B"/>
    <w:rsid w:val="00842D37"/>
    <w:rsid w:val="008438F3"/>
    <w:rsid w:val="00843A9C"/>
    <w:rsid w:val="008459F3"/>
    <w:rsid w:val="00845C93"/>
    <w:rsid w:val="00846F45"/>
    <w:rsid w:val="00847294"/>
    <w:rsid w:val="008504FA"/>
    <w:rsid w:val="00851EAD"/>
    <w:rsid w:val="008520E8"/>
    <w:rsid w:val="00852ECC"/>
    <w:rsid w:val="0085426E"/>
    <w:rsid w:val="0085592E"/>
    <w:rsid w:val="00856E86"/>
    <w:rsid w:val="0085701A"/>
    <w:rsid w:val="00857D64"/>
    <w:rsid w:val="00861D01"/>
    <w:rsid w:val="008638E1"/>
    <w:rsid w:val="008647D1"/>
    <w:rsid w:val="00866176"/>
    <w:rsid w:val="0086643A"/>
    <w:rsid w:val="008668BB"/>
    <w:rsid w:val="0086724D"/>
    <w:rsid w:val="00872A33"/>
    <w:rsid w:val="00876304"/>
    <w:rsid w:val="00876772"/>
    <w:rsid w:val="008767DF"/>
    <w:rsid w:val="00877816"/>
    <w:rsid w:val="00882777"/>
    <w:rsid w:val="00882F43"/>
    <w:rsid w:val="00883644"/>
    <w:rsid w:val="008848D7"/>
    <w:rsid w:val="00884915"/>
    <w:rsid w:val="008860A5"/>
    <w:rsid w:val="008861EC"/>
    <w:rsid w:val="008878C6"/>
    <w:rsid w:val="0089141F"/>
    <w:rsid w:val="00894AD9"/>
    <w:rsid w:val="008952F8"/>
    <w:rsid w:val="00895843"/>
    <w:rsid w:val="008963A3"/>
    <w:rsid w:val="008968C4"/>
    <w:rsid w:val="00896CB9"/>
    <w:rsid w:val="00897578"/>
    <w:rsid w:val="008A165E"/>
    <w:rsid w:val="008A18FC"/>
    <w:rsid w:val="008A1F8F"/>
    <w:rsid w:val="008A28D7"/>
    <w:rsid w:val="008A2E59"/>
    <w:rsid w:val="008A4B99"/>
    <w:rsid w:val="008A5493"/>
    <w:rsid w:val="008A5EBB"/>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D0DE0"/>
    <w:rsid w:val="008D184C"/>
    <w:rsid w:val="008D1EF0"/>
    <w:rsid w:val="008D2450"/>
    <w:rsid w:val="008D4392"/>
    <w:rsid w:val="008D4ABC"/>
    <w:rsid w:val="008D4B50"/>
    <w:rsid w:val="008D5AAF"/>
    <w:rsid w:val="008D6828"/>
    <w:rsid w:val="008D69EE"/>
    <w:rsid w:val="008D6EDB"/>
    <w:rsid w:val="008D7790"/>
    <w:rsid w:val="008E165C"/>
    <w:rsid w:val="008E4488"/>
    <w:rsid w:val="008E4A26"/>
    <w:rsid w:val="008E5096"/>
    <w:rsid w:val="008E5E4B"/>
    <w:rsid w:val="008E6987"/>
    <w:rsid w:val="008F093A"/>
    <w:rsid w:val="008F0F6D"/>
    <w:rsid w:val="008F26D2"/>
    <w:rsid w:val="008F5845"/>
    <w:rsid w:val="008F696E"/>
    <w:rsid w:val="008F79CF"/>
    <w:rsid w:val="00900621"/>
    <w:rsid w:val="009014C1"/>
    <w:rsid w:val="00901A57"/>
    <w:rsid w:val="009023E5"/>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5EF4"/>
    <w:rsid w:val="00957686"/>
    <w:rsid w:val="00957F9E"/>
    <w:rsid w:val="0096011C"/>
    <w:rsid w:val="00960328"/>
    <w:rsid w:val="0096168D"/>
    <w:rsid w:val="009714CD"/>
    <w:rsid w:val="0097206B"/>
    <w:rsid w:val="009726DE"/>
    <w:rsid w:val="00972A8D"/>
    <w:rsid w:val="00973573"/>
    <w:rsid w:val="009738D3"/>
    <w:rsid w:val="00973C5A"/>
    <w:rsid w:val="00973EAE"/>
    <w:rsid w:val="0097479C"/>
    <w:rsid w:val="0097740A"/>
    <w:rsid w:val="00980B04"/>
    <w:rsid w:val="0098136E"/>
    <w:rsid w:val="00983D48"/>
    <w:rsid w:val="00984EA4"/>
    <w:rsid w:val="00985192"/>
    <w:rsid w:val="00986004"/>
    <w:rsid w:val="00990526"/>
    <w:rsid w:val="00990647"/>
    <w:rsid w:val="00990B37"/>
    <w:rsid w:val="00990E1E"/>
    <w:rsid w:val="00991363"/>
    <w:rsid w:val="00991D29"/>
    <w:rsid w:val="00992053"/>
    <w:rsid w:val="009927E2"/>
    <w:rsid w:val="00992F61"/>
    <w:rsid w:val="00993DFC"/>
    <w:rsid w:val="00994B3D"/>
    <w:rsid w:val="00995121"/>
    <w:rsid w:val="00995932"/>
    <w:rsid w:val="00996A14"/>
    <w:rsid w:val="0099736A"/>
    <w:rsid w:val="009978FA"/>
    <w:rsid w:val="009A17AB"/>
    <w:rsid w:val="009A1BE4"/>
    <w:rsid w:val="009A2ACA"/>
    <w:rsid w:val="009A354A"/>
    <w:rsid w:val="009A570F"/>
    <w:rsid w:val="009A5AF6"/>
    <w:rsid w:val="009A5EB2"/>
    <w:rsid w:val="009A77F7"/>
    <w:rsid w:val="009B02E8"/>
    <w:rsid w:val="009B1744"/>
    <w:rsid w:val="009B3DEB"/>
    <w:rsid w:val="009B40D6"/>
    <w:rsid w:val="009B7CF6"/>
    <w:rsid w:val="009C0446"/>
    <w:rsid w:val="009C1066"/>
    <w:rsid w:val="009C1148"/>
    <w:rsid w:val="009C1524"/>
    <w:rsid w:val="009C1CC0"/>
    <w:rsid w:val="009C3D37"/>
    <w:rsid w:val="009C4897"/>
    <w:rsid w:val="009C49E7"/>
    <w:rsid w:val="009C59E6"/>
    <w:rsid w:val="009C7324"/>
    <w:rsid w:val="009D0FAD"/>
    <w:rsid w:val="009D2EE3"/>
    <w:rsid w:val="009D3F02"/>
    <w:rsid w:val="009D49F5"/>
    <w:rsid w:val="009E11A8"/>
    <w:rsid w:val="009E1269"/>
    <w:rsid w:val="009E2355"/>
    <w:rsid w:val="009E23C0"/>
    <w:rsid w:val="009E2BA5"/>
    <w:rsid w:val="009E42BA"/>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2045"/>
    <w:rsid w:val="00A32075"/>
    <w:rsid w:val="00A332D9"/>
    <w:rsid w:val="00A345CC"/>
    <w:rsid w:val="00A35431"/>
    <w:rsid w:val="00A35FE0"/>
    <w:rsid w:val="00A37013"/>
    <w:rsid w:val="00A3770A"/>
    <w:rsid w:val="00A379FB"/>
    <w:rsid w:val="00A40493"/>
    <w:rsid w:val="00A40BBB"/>
    <w:rsid w:val="00A4124E"/>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6CEC"/>
    <w:rsid w:val="00A703B4"/>
    <w:rsid w:val="00A71494"/>
    <w:rsid w:val="00A71C20"/>
    <w:rsid w:val="00A72BDC"/>
    <w:rsid w:val="00A733AB"/>
    <w:rsid w:val="00A7388A"/>
    <w:rsid w:val="00A740BF"/>
    <w:rsid w:val="00A76EE1"/>
    <w:rsid w:val="00A803F0"/>
    <w:rsid w:val="00A80410"/>
    <w:rsid w:val="00A80AD2"/>
    <w:rsid w:val="00A81033"/>
    <w:rsid w:val="00A81629"/>
    <w:rsid w:val="00A81FB8"/>
    <w:rsid w:val="00A838C4"/>
    <w:rsid w:val="00A83BC8"/>
    <w:rsid w:val="00A8473B"/>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F96"/>
    <w:rsid w:val="00AA5047"/>
    <w:rsid w:val="00AA5219"/>
    <w:rsid w:val="00AA59DE"/>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C3A"/>
    <w:rsid w:val="00AC5505"/>
    <w:rsid w:val="00AC5900"/>
    <w:rsid w:val="00AC60CD"/>
    <w:rsid w:val="00AC6751"/>
    <w:rsid w:val="00AC7C0E"/>
    <w:rsid w:val="00AD0358"/>
    <w:rsid w:val="00AD1C38"/>
    <w:rsid w:val="00AD1D8D"/>
    <w:rsid w:val="00AD221A"/>
    <w:rsid w:val="00AD246E"/>
    <w:rsid w:val="00AD54F3"/>
    <w:rsid w:val="00AD5CCF"/>
    <w:rsid w:val="00AE2462"/>
    <w:rsid w:val="00AE2744"/>
    <w:rsid w:val="00AE3CF9"/>
    <w:rsid w:val="00AE459D"/>
    <w:rsid w:val="00AE54D9"/>
    <w:rsid w:val="00AE5973"/>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22B4"/>
    <w:rsid w:val="00B129EA"/>
    <w:rsid w:val="00B1300B"/>
    <w:rsid w:val="00B1372D"/>
    <w:rsid w:val="00B15436"/>
    <w:rsid w:val="00B1556F"/>
    <w:rsid w:val="00B1570D"/>
    <w:rsid w:val="00B167EF"/>
    <w:rsid w:val="00B16A63"/>
    <w:rsid w:val="00B16C70"/>
    <w:rsid w:val="00B170D9"/>
    <w:rsid w:val="00B1740E"/>
    <w:rsid w:val="00B17B07"/>
    <w:rsid w:val="00B204C2"/>
    <w:rsid w:val="00B20F12"/>
    <w:rsid w:val="00B23C06"/>
    <w:rsid w:val="00B23F5D"/>
    <w:rsid w:val="00B246DB"/>
    <w:rsid w:val="00B251DB"/>
    <w:rsid w:val="00B25E57"/>
    <w:rsid w:val="00B26378"/>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1AF5"/>
    <w:rsid w:val="00B4209A"/>
    <w:rsid w:val="00B42D18"/>
    <w:rsid w:val="00B453B4"/>
    <w:rsid w:val="00B45632"/>
    <w:rsid w:val="00B46BC6"/>
    <w:rsid w:val="00B47205"/>
    <w:rsid w:val="00B47615"/>
    <w:rsid w:val="00B479FC"/>
    <w:rsid w:val="00B47D0C"/>
    <w:rsid w:val="00B53312"/>
    <w:rsid w:val="00B538C4"/>
    <w:rsid w:val="00B54BB8"/>
    <w:rsid w:val="00B57DA6"/>
    <w:rsid w:val="00B60217"/>
    <w:rsid w:val="00B60932"/>
    <w:rsid w:val="00B61C9A"/>
    <w:rsid w:val="00B63354"/>
    <w:rsid w:val="00B63B2C"/>
    <w:rsid w:val="00B651D5"/>
    <w:rsid w:val="00B666F9"/>
    <w:rsid w:val="00B67348"/>
    <w:rsid w:val="00B714B8"/>
    <w:rsid w:val="00B72DA2"/>
    <w:rsid w:val="00B730B2"/>
    <w:rsid w:val="00B73CD0"/>
    <w:rsid w:val="00B746B4"/>
    <w:rsid w:val="00B752D5"/>
    <w:rsid w:val="00B75888"/>
    <w:rsid w:val="00B75A5C"/>
    <w:rsid w:val="00B75C66"/>
    <w:rsid w:val="00B77065"/>
    <w:rsid w:val="00B777B6"/>
    <w:rsid w:val="00B80E16"/>
    <w:rsid w:val="00B8146E"/>
    <w:rsid w:val="00B83308"/>
    <w:rsid w:val="00B83313"/>
    <w:rsid w:val="00B85E6B"/>
    <w:rsid w:val="00B87E37"/>
    <w:rsid w:val="00B927AA"/>
    <w:rsid w:val="00B92FFF"/>
    <w:rsid w:val="00B931F8"/>
    <w:rsid w:val="00B943A6"/>
    <w:rsid w:val="00B945B6"/>
    <w:rsid w:val="00B94D0A"/>
    <w:rsid w:val="00B9579E"/>
    <w:rsid w:val="00B964AE"/>
    <w:rsid w:val="00B96BF1"/>
    <w:rsid w:val="00B97F20"/>
    <w:rsid w:val="00BA0634"/>
    <w:rsid w:val="00BA08C2"/>
    <w:rsid w:val="00BA1945"/>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5FA"/>
    <w:rsid w:val="00BB7B7F"/>
    <w:rsid w:val="00BC0A38"/>
    <w:rsid w:val="00BC0E9F"/>
    <w:rsid w:val="00BC1B6E"/>
    <w:rsid w:val="00BC1C17"/>
    <w:rsid w:val="00BC1F79"/>
    <w:rsid w:val="00BC5359"/>
    <w:rsid w:val="00BC5812"/>
    <w:rsid w:val="00BC5F45"/>
    <w:rsid w:val="00BC7E5C"/>
    <w:rsid w:val="00BD141F"/>
    <w:rsid w:val="00BD2F76"/>
    <w:rsid w:val="00BD3A8B"/>
    <w:rsid w:val="00BD3FA9"/>
    <w:rsid w:val="00BD4862"/>
    <w:rsid w:val="00BD6403"/>
    <w:rsid w:val="00BD66D7"/>
    <w:rsid w:val="00BD6739"/>
    <w:rsid w:val="00BD68C3"/>
    <w:rsid w:val="00BD75B2"/>
    <w:rsid w:val="00BE19D3"/>
    <w:rsid w:val="00BE2561"/>
    <w:rsid w:val="00BE3FD2"/>
    <w:rsid w:val="00BE7A55"/>
    <w:rsid w:val="00BE7C00"/>
    <w:rsid w:val="00BF0BE8"/>
    <w:rsid w:val="00BF11EB"/>
    <w:rsid w:val="00BF2EFC"/>
    <w:rsid w:val="00BF30B7"/>
    <w:rsid w:val="00BF411E"/>
    <w:rsid w:val="00BF6601"/>
    <w:rsid w:val="00BF67DE"/>
    <w:rsid w:val="00BF6B74"/>
    <w:rsid w:val="00BF6C84"/>
    <w:rsid w:val="00BF6F63"/>
    <w:rsid w:val="00BF73BD"/>
    <w:rsid w:val="00C0067C"/>
    <w:rsid w:val="00C010C7"/>
    <w:rsid w:val="00C02FBF"/>
    <w:rsid w:val="00C03D21"/>
    <w:rsid w:val="00C04FF3"/>
    <w:rsid w:val="00C051A2"/>
    <w:rsid w:val="00C05274"/>
    <w:rsid w:val="00C052D7"/>
    <w:rsid w:val="00C064DF"/>
    <w:rsid w:val="00C06668"/>
    <w:rsid w:val="00C06D4A"/>
    <w:rsid w:val="00C07058"/>
    <w:rsid w:val="00C07682"/>
    <w:rsid w:val="00C07706"/>
    <w:rsid w:val="00C11819"/>
    <w:rsid w:val="00C1365B"/>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2250"/>
    <w:rsid w:val="00C3420B"/>
    <w:rsid w:val="00C34941"/>
    <w:rsid w:val="00C36174"/>
    <w:rsid w:val="00C36C81"/>
    <w:rsid w:val="00C37064"/>
    <w:rsid w:val="00C374B4"/>
    <w:rsid w:val="00C37686"/>
    <w:rsid w:val="00C37CC0"/>
    <w:rsid w:val="00C37E0B"/>
    <w:rsid w:val="00C40057"/>
    <w:rsid w:val="00C4038B"/>
    <w:rsid w:val="00C407ED"/>
    <w:rsid w:val="00C410EF"/>
    <w:rsid w:val="00C41300"/>
    <w:rsid w:val="00C42647"/>
    <w:rsid w:val="00C43260"/>
    <w:rsid w:val="00C43C32"/>
    <w:rsid w:val="00C44033"/>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AF2"/>
    <w:rsid w:val="00C70D26"/>
    <w:rsid w:val="00C72AC7"/>
    <w:rsid w:val="00C72B95"/>
    <w:rsid w:val="00C741EB"/>
    <w:rsid w:val="00C75804"/>
    <w:rsid w:val="00C75B8B"/>
    <w:rsid w:val="00C774E8"/>
    <w:rsid w:val="00C801FC"/>
    <w:rsid w:val="00C82A41"/>
    <w:rsid w:val="00C82B69"/>
    <w:rsid w:val="00C833DA"/>
    <w:rsid w:val="00C8373B"/>
    <w:rsid w:val="00C85DE6"/>
    <w:rsid w:val="00C85FC2"/>
    <w:rsid w:val="00C86D3C"/>
    <w:rsid w:val="00C9110D"/>
    <w:rsid w:val="00C91429"/>
    <w:rsid w:val="00C934D7"/>
    <w:rsid w:val="00C943C7"/>
    <w:rsid w:val="00C9602E"/>
    <w:rsid w:val="00C96B58"/>
    <w:rsid w:val="00CA0518"/>
    <w:rsid w:val="00CA051D"/>
    <w:rsid w:val="00CA117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8"/>
    <w:rsid w:val="00CD729C"/>
    <w:rsid w:val="00CE0461"/>
    <w:rsid w:val="00CE0CE1"/>
    <w:rsid w:val="00CE0D16"/>
    <w:rsid w:val="00CE211B"/>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19BE"/>
    <w:rsid w:val="00D159CF"/>
    <w:rsid w:val="00D16254"/>
    <w:rsid w:val="00D166E2"/>
    <w:rsid w:val="00D17486"/>
    <w:rsid w:val="00D1799A"/>
    <w:rsid w:val="00D200EC"/>
    <w:rsid w:val="00D20CE7"/>
    <w:rsid w:val="00D20DA3"/>
    <w:rsid w:val="00D20F1A"/>
    <w:rsid w:val="00D229AB"/>
    <w:rsid w:val="00D24F0F"/>
    <w:rsid w:val="00D26EF8"/>
    <w:rsid w:val="00D26F38"/>
    <w:rsid w:val="00D273AF"/>
    <w:rsid w:val="00D3007E"/>
    <w:rsid w:val="00D3110C"/>
    <w:rsid w:val="00D3138E"/>
    <w:rsid w:val="00D33432"/>
    <w:rsid w:val="00D33CE6"/>
    <w:rsid w:val="00D3645F"/>
    <w:rsid w:val="00D37041"/>
    <w:rsid w:val="00D371FC"/>
    <w:rsid w:val="00D372FC"/>
    <w:rsid w:val="00D378EF"/>
    <w:rsid w:val="00D4043B"/>
    <w:rsid w:val="00D405C2"/>
    <w:rsid w:val="00D41C17"/>
    <w:rsid w:val="00D41E98"/>
    <w:rsid w:val="00D41F5B"/>
    <w:rsid w:val="00D42262"/>
    <w:rsid w:val="00D43127"/>
    <w:rsid w:val="00D44DA6"/>
    <w:rsid w:val="00D454CD"/>
    <w:rsid w:val="00D45CBA"/>
    <w:rsid w:val="00D46ECC"/>
    <w:rsid w:val="00D50BBE"/>
    <w:rsid w:val="00D51A79"/>
    <w:rsid w:val="00D53CD2"/>
    <w:rsid w:val="00D53E8F"/>
    <w:rsid w:val="00D54808"/>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A77"/>
    <w:rsid w:val="00D64F1A"/>
    <w:rsid w:val="00D65AFF"/>
    <w:rsid w:val="00D661F4"/>
    <w:rsid w:val="00D66362"/>
    <w:rsid w:val="00D66444"/>
    <w:rsid w:val="00D666DD"/>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0645"/>
    <w:rsid w:val="00D910D4"/>
    <w:rsid w:val="00D916FF"/>
    <w:rsid w:val="00D92996"/>
    <w:rsid w:val="00D93587"/>
    <w:rsid w:val="00D93BB8"/>
    <w:rsid w:val="00D951AB"/>
    <w:rsid w:val="00D95C0A"/>
    <w:rsid w:val="00D95F1A"/>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AA8"/>
    <w:rsid w:val="00DB7DBD"/>
    <w:rsid w:val="00DB7ECD"/>
    <w:rsid w:val="00DC0770"/>
    <w:rsid w:val="00DC0871"/>
    <w:rsid w:val="00DC0C51"/>
    <w:rsid w:val="00DC108D"/>
    <w:rsid w:val="00DC2F83"/>
    <w:rsid w:val="00DC36FE"/>
    <w:rsid w:val="00DC3E23"/>
    <w:rsid w:val="00DC6D2A"/>
    <w:rsid w:val="00DC7CA4"/>
    <w:rsid w:val="00DD187B"/>
    <w:rsid w:val="00DD18A2"/>
    <w:rsid w:val="00DD35A9"/>
    <w:rsid w:val="00DD3D30"/>
    <w:rsid w:val="00DD3E51"/>
    <w:rsid w:val="00DD3FB7"/>
    <w:rsid w:val="00DD406C"/>
    <w:rsid w:val="00DD4E9A"/>
    <w:rsid w:val="00DD6238"/>
    <w:rsid w:val="00DE12D4"/>
    <w:rsid w:val="00DE1D51"/>
    <w:rsid w:val="00DE320D"/>
    <w:rsid w:val="00DE5410"/>
    <w:rsid w:val="00DE5ECA"/>
    <w:rsid w:val="00DE6478"/>
    <w:rsid w:val="00DE6C8F"/>
    <w:rsid w:val="00DE7370"/>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0D7"/>
    <w:rsid w:val="00E065F2"/>
    <w:rsid w:val="00E10AA7"/>
    <w:rsid w:val="00E11D78"/>
    <w:rsid w:val="00E13272"/>
    <w:rsid w:val="00E13F4E"/>
    <w:rsid w:val="00E154FE"/>
    <w:rsid w:val="00E15E69"/>
    <w:rsid w:val="00E17398"/>
    <w:rsid w:val="00E2127A"/>
    <w:rsid w:val="00E21D8B"/>
    <w:rsid w:val="00E237D4"/>
    <w:rsid w:val="00E2409D"/>
    <w:rsid w:val="00E2571A"/>
    <w:rsid w:val="00E27B03"/>
    <w:rsid w:val="00E30483"/>
    <w:rsid w:val="00E30675"/>
    <w:rsid w:val="00E30703"/>
    <w:rsid w:val="00E31698"/>
    <w:rsid w:val="00E32291"/>
    <w:rsid w:val="00E3290C"/>
    <w:rsid w:val="00E32E7F"/>
    <w:rsid w:val="00E3591B"/>
    <w:rsid w:val="00E36557"/>
    <w:rsid w:val="00E4038F"/>
    <w:rsid w:val="00E42312"/>
    <w:rsid w:val="00E42E13"/>
    <w:rsid w:val="00E437F8"/>
    <w:rsid w:val="00E44145"/>
    <w:rsid w:val="00E468B7"/>
    <w:rsid w:val="00E47240"/>
    <w:rsid w:val="00E5122F"/>
    <w:rsid w:val="00E51EF2"/>
    <w:rsid w:val="00E531B9"/>
    <w:rsid w:val="00E53609"/>
    <w:rsid w:val="00E53E0C"/>
    <w:rsid w:val="00E541BE"/>
    <w:rsid w:val="00E554E7"/>
    <w:rsid w:val="00E560CA"/>
    <w:rsid w:val="00E6009C"/>
    <w:rsid w:val="00E602C1"/>
    <w:rsid w:val="00E60D22"/>
    <w:rsid w:val="00E61FD2"/>
    <w:rsid w:val="00E631A6"/>
    <w:rsid w:val="00E637CE"/>
    <w:rsid w:val="00E63CBE"/>
    <w:rsid w:val="00E642A2"/>
    <w:rsid w:val="00E644E3"/>
    <w:rsid w:val="00E651BB"/>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948"/>
    <w:rsid w:val="00E83035"/>
    <w:rsid w:val="00E846B0"/>
    <w:rsid w:val="00E85B1E"/>
    <w:rsid w:val="00E86B67"/>
    <w:rsid w:val="00E8748E"/>
    <w:rsid w:val="00E87C5A"/>
    <w:rsid w:val="00E90984"/>
    <w:rsid w:val="00E90E01"/>
    <w:rsid w:val="00E91F69"/>
    <w:rsid w:val="00E94D0F"/>
    <w:rsid w:val="00E95298"/>
    <w:rsid w:val="00E9648C"/>
    <w:rsid w:val="00E96671"/>
    <w:rsid w:val="00E96BA2"/>
    <w:rsid w:val="00E97D84"/>
    <w:rsid w:val="00EA18F4"/>
    <w:rsid w:val="00EA2C60"/>
    <w:rsid w:val="00EA34B0"/>
    <w:rsid w:val="00EA4684"/>
    <w:rsid w:val="00EA4D38"/>
    <w:rsid w:val="00EA54E3"/>
    <w:rsid w:val="00EA6A7C"/>
    <w:rsid w:val="00EA77D1"/>
    <w:rsid w:val="00EA7CC7"/>
    <w:rsid w:val="00EB133D"/>
    <w:rsid w:val="00EB49BC"/>
    <w:rsid w:val="00EB7435"/>
    <w:rsid w:val="00EB7B85"/>
    <w:rsid w:val="00EC153F"/>
    <w:rsid w:val="00EC1D0F"/>
    <w:rsid w:val="00EC29E3"/>
    <w:rsid w:val="00EC31E5"/>
    <w:rsid w:val="00EC5579"/>
    <w:rsid w:val="00EC77A8"/>
    <w:rsid w:val="00EC782F"/>
    <w:rsid w:val="00ED0273"/>
    <w:rsid w:val="00ED1A92"/>
    <w:rsid w:val="00ED250C"/>
    <w:rsid w:val="00ED3FC0"/>
    <w:rsid w:val="00ED75A4"/>
    <w:rsid w:val="00EE0A30"/>
    <w:rsid w:val="00EE4581"/>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4DD5"/>
    <w:rsid w:val="00F064B3"/>
    <w:rsid w:val="00F077F3"/>
    <w:rsid w:val="00F10437"/>
    <w:rsid w:val="00F1076E"/>
    <w:rsid w:val="00F12C22"/>
    <w:rsid w:val="00F12C86"/>
    <w:rsid w:val="00F13037"/>
    <w:rsid w:val="00F147D8"/>
    <w:rsid w:val="00F14F81"/>
    <w:rsid w:val="00F15223"/>
    <w:rsid w:val="00F15CB6"/>
    <w:rsid w:val="00F173CF"/>
    <w:rsid w:val="00F17AE7"/>
    <w:rsid w:val="00F21AA3"/>
    <w:rsid w:val="00F2337E"/>
    <w:rsid w:val="00F23391"/>
    <w:rsid w:val="00F2348E"/>
    <w:rsid w:val="00F23A88"/>
    <w:rsid w:val="00F24738"/>
    <w:rsid w:val="00F24F7A"/>
    <w:rsid w:val="00F25981"/>
    <w:rsid w:val="00F26DB4"/>
    <w:rsid w:val="00F27250"/>
    <w:rsid w:val="00F2779D"/>
    <w:rsid w:val="00F3004D"/>
    <w:rsid w:val="00F30889"/>
    <w:rsid w:val="00F35995"/>
    <w:rsid w:val="00F37CA0"/>
    <w:rsid w:val="00F37E88"/>
    <w:rsid w:val="00F402A9"/>
    <w:rsid w:val="00F4090D"/>
    <w:rsid w:val="00F424E8"/>
    <w:rsid w:val="00F42CD7"/>
    <w:rsid w:val="00F432F5"/>
    <w:rsid w:val="00F45955"/>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F55"/>
    <w:rsid w:val="00F7256D"/>
    <w:rsid w:val="00F7314A"/>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2B29"/>
    <w:rsid w:val="00F93609"/>
    <w:rsid w:val="00F94052"/>
    <w:rsid w:val="00F947D1"/>
    <w:rsid w:val="00F94A85"/>
    <w:rsid w:val="00F94D93"/>
    <w:rsid w:val="00F95A36"/>
    <w:rsid w:val="00F95E62"/>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672"/>
    <w:rsid w:val="00FD1A8C"/>
    <w:rsid w:val="00FD2C1C"/>
    <w:rsid w:val="00FD3805"/>
    <w:rsid w:val="00FD3937"/>
    <w:rsid w:val="00FD4396"/>
    <w:rsid w:val="00FD4A4F"/>
    <w:rsid w:val="00FD578E"/>
    <w:rsid w:val="00FD5CA8"/>
    <w:rsid w:val="00FE04CB"/>
    <w:rsid w:val="00FE07EA"/>
    <w:rsid w:val="00FE155D"/>
    <w:rsid w:val="00FE1BF1"/>
    <w:rsid w:val="00FE2F9A"/>
    <w:rsid w:val="00FE324E"/>
    <w:rsid w:val="00FE563F"/>
    <w:rsid w:val="00FE5710"/>
    <w:rsid w:val="00FE5A13"/>
    <w:rsid w:val="00FE66B5"/>
    <w:rsid w:val="00FE67D8"/>
    <w:rsid w:val="00FE6CAD"/>
    <w:rsid w:val="00FE6E4F"/>
    <w:rsid w:val="00FE71C9"/>
    <w:rsid w:val="00FE743E"/>
    <w:rsid w:val="00FF06DF"/>
    <w:rsid w:val="00FF166A"/>
    <w:rsid w:val="00FF180B"/>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BA7D-02DB-4292-A926-CD8A70DE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15</Pages>
  <Words>7338</Words>
  <Characters>41832</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По подразделу 0107 «Обеспечение проведения выборов и референдумов» предусмотрены</vt:lpstr>
      <vt:lpstr/>
      <vt:lpstr/>
      <vt:lpstr>Аудитор                                                                         </vt:lpstr>
      <vt:lpstr/>
      <vt:lpstr/>
    </vt:vector>
  </TitlesOfParts>
  <Company>*</Company>
  <LinksUpToDate>false</LinksUpToDate>
  <CharactersWithSpaces>49072</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64</cp:revision>
  <cp:lastPrinted>2020-11-26T02:40:00Z</cp:lastPrinted>
  <dcterms:created xsi:type="dcterms:W3CDTF">2020-11-24T02:39:00Z</dcterms:created>
  <dcterms:modified xsi:type="dcterms:W3CDTF">2020-12-18T05:37:00Z</dcterms:modified>
</cp:coreProperties>
</file>