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254F78" w:rsidP="00774830">
      <w:pPr>
        <w:pStyle w:val="a3"/>
        <w:tabs>
          <w:tab w:val="left" w:pos="0"/>
        </w:tabs>
        <w:autoSpaceDE/>
        <w:autoSpaceDN/>
        <w:spacing w:after="0"/>
        <w:ind w:firstLine="567"/>
        <w:jc w:val="both"/>
        <w:rPr>
          <w:sz w:val="24"/>
          <w:szCs w:val="24"/>
        </w:rPr>
      </w:pPr>
      <w:r>
        <w:rPr>
          <w:sz w:val="24"/>
          <w:szCs w:val="24"/>
        </w:rPr>
        <w:t>2</w:t>
      </w:r>
      <w:r w:rsidR="00A84A7A">
        <w:rPr>
          <w:sz w:val="24"/>
          <w:szCs w:val="24"/>
        </w:rPr>
        <w:t>7</w:t>
      </w:r>
      <w:r w:rsidR="00AC0CD9" w:rsidRPr="00B57DA6">
        <w:rPr>
          <w:sz w:val="24"/>
          <w:szCs w:val="24"/>
        </w:rPr>
        <w:t>.1</w:t>
      </w:r>
      <w:r w:rsidR="00E91F69">
        <w:rPr>
          <w:sz w:val="24"/>
          <w:szCs w:val="24"/>
        </w:rPr>
        <w:t>1</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A84A7A">
        <w:rPr>
          <w:sz w:val="24"/>
          <w:szCs w:val="24"/>
        </w:rPr>
        <w:t>52</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74005">
        <w:t>Лукиновского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674005">
        <w:rPr>
          <w:bCs/>
        </w:rPr>
        <w:t>Лукиновского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674005">
        <w:t>Лукиновского</w:t>
      </w:r>
      <w:r w:rsidR="0000549E">
        <w:t xml:space="preserve"> сельского поселения</w:t>
      </w:r>
      <w:r w:rsidR="00462578" w:rsidRPr="00A621A3">
        <w:t xml:space="preserve"> «</w:t>
      </w:r>
      <w:r w:rsidR="00774830">
        <w:rPr>
          <w:bCs/>
        </w:rPr>
        <w:t xml:space="preserve">О бюджете </w:t>
      </w:r>
      <w:r w:rsidR="00674005">
        <w:rPr>
          <w:bCs/>
        </w:rPr>
        <w:t>Лукиновского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74005">
        <w:t>Лукиновском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EB501A">
        <w:t>6</w:t>
      </w:r>
      <w:r w:rsidR="00AC0CD9" w:rsidRPr="00A621A3">
        <w:t xml:space="preserve">, </w:t>
      </w:r>
      <w:r w:rsidR="00991363">
        <w:t>иными нормативно-правовыми актами</w:t>
      </w:r>
      <w:r w:rsidR="00AC0CD9" w:rsidRPr="00A621A3">
        <w:t>.</w:t>
      </w:r>
    </w:p>
    <w:p w:rsidR="00B41F4C" w:rsidRPr="00B9579E" w:rsidRDefault="006F0F0D" w:rsidP="00B41F4C">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EB501A">
        <w:rPr>
          <w:sz w:val="24"/>
          <w:szCs w:val="24"/>
        </w:rPr>
        <w:t>52</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41F4C" w:rsidRPr="00B9579E">
        <w:rPr>
          <w:sz w:val="24"/>
          <w:szCs w:val="24"/>
        </w:rPr>
        <w:t xml:space="preserve">установленных статьями </w:t>
      </w:r>
      <w:r w:rsidR="00B41F4C">
        <w:rPr>
          <w:sz w:val="24"/>
          <w:szCs w:val="24"/>
        </w:rPr>
        <w:t>24</w:t>
      </w:r>
      <w:r w:rsidR="00B41F4C" w:rsidRPr="00B9579E">
        <w:rPr>
          <w:sz w:val="24"/>
          <w:szCs w:val="24"/>
        </w:rPr>
        <w:t>, 2</w:t>
      </w:r>
      <w:r w:rsidR="00B41F4C">
        <w:rPr>
          <w:sz w:val="24"/>
          <w:szCs w:val="24"/>
        </w:rPr>
        <w:t>5</w:t>
      </w:r>
      <w:r w:rsidR="00B41F4C" w:rsidRPr="00B9579E">
        <w:rPr>
          <w:sz w:val="24"/>
          <w:szCs w:val="24"/>
        </w:rPr>
        <w:t xml:space="preserve"> Положения о бюджетном процессе в </w:t>
      </w:r>
      <w:r w:rsidR="00B41F4C">
        <w:rPr>
          <w:sz w:val="24"/>
          <w:szCs w:val="24"/>
        </w:rPr>
        <w:t>Лукиновском</w:t>
      </w:r>
      <w:r w:rsidR="00B41F4C" w:rsidRPr="00B9579E">
        <w:rPr>
          <w:sz w:val="24"/>
          <w:szCs w:val="24"/>
        </w:rPr>
        <w:t xml:space="preserve"> муниципальном образовании, утвержденного</w:t>
      </w:r>
      <w:r w:rsidR="00B41F4C">
        <w:rPr>
          <w:sz w:val="24"/>
          <w:szCs w:val="24"/>
        </w:rPr>
        <w:t xml:space="preserve"> решением Думы Лукиновского сельского поселения от 19.06.2020 № 55.</w:t>
      </w:r>
    </w:p>
    <w:p w:rsidR="00D61F1F" w:rsidRDefault="00D61F1F" w:rsidP="00B41F4C">
      <w:pPr>
        <w:pStyle w:val="212"/>
        <w:ind w:firstLine="709"/>
      </w:pPr>
      <w:r>
        <w:t xml:space="preserve">Экспертиза проекта бюджета </w:t>
      </w:r>
      <w:r w:rsidR="00674005">
        <w:t>Лукиновского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674005">
        <w:t>Лукиновского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674005">
        <w:t>Лукиновского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и </w:t>
      </w:r>
      <w:r w:rsidR="005B3D37">
        <w:t xml:space="preserve">налоговой политики </w:t>
      </w:r>
      <w:r w:rsidR="00674005">
        <w:t>Лукиновского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D61F1F" w:rsidRDefault="00126ADC" w:rsidP="006C047A">
      <w:pPr>
        <w:autoSpaceDE w:val="0"/>
        <w:autoSpaceDN w:val="0"/>
        <w:adjustRightInd w:val="0"/>
        <w:ind w:firstLine="709"/>
        <w:jc w:val="both"/>
      </w:pPr>
      <w:r>
        <w:t>Д</w:t>
      </w:r>
      <w:r w:rsidR="00755284">
        <w:t>окумент</w:t>
      </w:r>
      <w:r>
        <w:t>ы</w:t>
      </w:r>
      <w:r w:rsidR="00755284">
        <w:t xml:space="preserve"> и материал</w:t>
      </w:r>
      <w:r>
        <w:t>ы</w:t>
      </w:r>
      <w:r w:rsidR="00755284">
        <w:t>, представленны</w:t>
      </w:r>
      <w:r>
        <w:t xml:space="preserve">е Администрацией </w:t>
      </w:r>
      <w:r w:rsidR="00674005">
        <w:t>Лукиновского</w:t>
      </w:r>
      <w:r>
        <w:t xml:space="preserve"> муниципального образования одновременно с проектом бюджета, </w:t>
      </w:r>
      <w:r w:rsidR="00A112AF">
        <w:t xml:space="preserve">по своему составу </w:t>
      </w:r>
      <w:r>
        <w:t>в полной мере соответствует требованиям</w:t>
      </w:r>
      <w:r w:rsidR="00040D10">
        <w:t xml:space="preserve"> ст. 184.2 БК РФ</w:t>
      </w:r>
      <w:bookmarkStart w:id="0" w:name="sub_18422"/>
      <w:r w:rsidR="00D61F1F">
        <w:t>:</w:t>
      </w:r>
    </w:p>
    <w:p w:rsidR="003E361A" w:rsidRPr="00553945" w:rsidRDefault="006C047A" w:rsidP="003E361A">
      <w:pPr>
        <w:autoSpaceDE w:val="0"/>
        <w:autoSpaceDN w:val="0"/>
        <w:adjustRightInd w:val="0"/>
        <w:ind w:firstLine="720"/>
        <w:jc w:val="both"/>
      </w:pPr>
      <w:r>
        <w:t>1</w:t>
      </w:r>
      <w:r w:rsidR="00D61F1F" w:rsidRPr="00B23F5D">
        <w:t xml:space="preserve">.  </w:t>
      </w:r>
      <w:r w:rsidR="003E361A">
        <w:t>Основные направлени</w:t>
      </w:r>
      <w:r w:rsidR="00754034">
        <w:t>я</w:t>
      </w:r>
      <w:r w:rsidR="003E361A">
        <w:t xml:space="preserve"> бюджетной и налоговой политики Лукиновского муниципального образования на 2021 год и на плановый период 2022 и 2023 годов </w:t>
      </w:r>
      <w:r w:rsidR="003E361A" w:rsidRPr="00B23F5D">
        <w:t xml:space="preserve">утверждены постановлением </w:t>
      </w:r>
      <w:r w:rsidR="003E361A">
        <w:t>А</w:t>
      </w:r>
      <w:r w:rsidR="003E361A" w:rsidRPr="00B23F5D">
        <w:t xml:space="preserve">дминистрации </w:t>
      </w:r>
      <w:r w:rsidR="003E361A">
        <w:t>Лукиновского</w:t>
      </w:r>
      <w:r w:rsidR="003E361A" w:rsidRPr="00B23F5D">
        <w:t xml:space="preserve"> сельского поселения от </w:t>
      </w:r>
      <w:r w:rsidR="003E361A">
        <w:t>09</w:t>
      </w:r>
      <w:r w:rsidR="003E361A" w:rsidRPr="00B23F5D">
        <w:t>.1</w:t>
      </w:r>
      <w:r w:rsidR="003E361A">
        <w:t>1</w:t>
      </w:r>
      <w:r w:rsidR="003E361A" w:rsidRPr="00B23F5D">
        <w:t>.20</w:t>
      </w:r>
      <w:r w:rsidR="003E361A">
        <w:t>20</w:t>
      </w:r>
      <w:r w:rsidR="003E361A" w:rsidRPr="00B23F5D">
        <w:t xml:space="preserve"> № </w:t>
      </w:r>
      <w:r w:rsidR="003E361A">
        <w:t>29</w:t>
      </w:r>
      <w:r w:rsidR="003E361A" w:rsidRPr="00B23F5D">
        <w:t xml:space="preserve"> (далее – </w:t>
      </w:r>
      <w:r w:rsidR="003E361A">
        <w:t>О</w:t>
      </w:r>
      <w:r w:rsidR="003E361A" w:rsidRPr="00B23F5D">
        <w:t>сновные направления)</w:t>
      </w:r>
      <w:r w:rsidR="003E361A">
        <w:t xml:space="preserve">, </w:t>
      </w:r>
      <w:r w:rsidR="003E361A" w:rsidRPr="00B23F5D">
        <w:t xml:space="preserve">разработаны с учетом положений БК РФ, Указа Президента РФ от 07.05.2018 № 204 «О национальных целях и задачах развития </w:t>
      </w:r>
      <w:r w:rsidR="003E361A" w:rsidRPr="00B23F5D">
        <w:lastRenderedPageBreak/>
        <w:t>Российской Федерации на период до 2024 года», Послания Президента РФ Федеральному собранию РФ</w:t>
      </w:r>
      <w:r w:rsidR="00553945">
        <w:t xml:space="preserve">, </w:t>
      </w:r>
      <w:r w:rsidR="00553945" w:rsidRPr="00553945">
        <w:t>содержат итоги реализации бюджетной и налоговой политики в 2019-2020 годах.</w:t>
      </w:r>
    </w:p>
    <w:p w:rsidR="003E361A" w:rsidRDefault="003E361A" w:rsidP="003E361A">
      <w:pPr>
        <w:autoSpaceDE w:val="0"/>
        <w:autoSpaceDN w:val="0"/>
        <w:adjustRightInd w:val="0"/>
        <w:ind w:firstLine="720"/>
        <w:jc w:val="both"/>
      </w:pPr>
      <w:r w:rsidRPr="00B23F5D">
        <w:t>Основн</w:t>
      </w:r>
      <w:r>
        <w:t>ой целью бюджетной политики</w:t>
      </w:r>
      <w:r w:rsidRPr="00B23F5D">
        <w:t xml:space="preserve"> органы местного самоуправления</w:t>
      </w:r>
      <w:r>
        <w:t xml:space="preserve"> поселения определили </w:t>
      </w:r>
      <w:r w:rsidR="002949E0">
        <w:t xml:space="preserve">обеспечение стабильности </w:t>
      </w:r>
      <w:r>
        <w:t>и устойчивости</w:t>
      </w:r>
      <w:r w:rsidRPr="00B23F5D">
        <w:t xml:space="preserve"> </w:t>
      </w:r>
      <w:r>
        <w:t>местного бюджета</w:t>
      </w:r>
      <w:r w:rsidR="002949E0">
        <w:t>, безусловное исполнение действующих и принимаемых обязательств наиболее эффективным способом, а также обеспечение прозрачности и открытости бюджетного планирования</w:t>
      </w:r>
      <w:r>
        <w:t>.</w:t>
      </w:r>
    </w:p>
    <w:p w:rsidR="00553945" w:rsidRDefault="00553945" w:rsidP="003E361A">
      <w:pPr>
        <w:autoSpaceDE w:val="0"/>
        <w:autoSpaceDN w:val="0"/>
        <w:adjustRightInd w:val="0"/>
        <w:ind w:firstLine="720"/>
        <w:jc w:val="both"/>
      </w:pPr>
      <w:r>
        <w:t>В целях повышения уровня и качества жизни населения, устойчивого экономического роста важнейшим условием становится эффективное, ответственное и прозрачное управление бюджетными средствами.</w:t>
      </w:r>
    </w:p>
    <w:p w:rsidR="003E361A" w:rsidRDefault="003E361A" w:rsidP="003E361A">
      <w:pPr>
        <w:autoSpaceDE w:val="0"/>
        <w:autoSpaceDN w:val="0"/>
        <w:adjustRightInd w:val="0"/>
        <w:ind w:firstLine="720"/>
        <w:jc w:val="both"/>
      </w:pPr>
      <w:r>
        <w:t>Приоритетной задачей налоговой политики будет являться продолжение работы по укреплению и развитию доходной базы местного бюджета за счет наращивания стабильных доходных источников, ее пополнения и мобилизации в бюджет имеющихся резервов.</w:t>
      </w:r>
    </w:p>
    <w:p w:rsidR="00D61F1F" w:rsidRPr="007E0FCE" w:rsidRDefault="00D61F1F" w:rsidP="003E361A">
      <w:pPr>
        <w:autoSpaceDE w:val="0"/>
        <w:autoSpaceDN w:val="0"/>
        <w:adjustRightInd w:val="0"/>
        <w:ind w:firstLine="720"/>
        <w:jc w:val="both"/>
      </w:pPr>
      <w:r w:rsidRPr="007E0FCE">
        <w:t xml:space="preserve">2. </w:t>
      </w:r>
      <w:bookmarkEnd w:id="0"/>
      <w:r w:rsidRPr="007E0FCE">
        <w:rPr>
          <w:u w:val="single"/>
        </w:rPr>
        <w:t xml:space="preserve">Предварительные итоги социально-экономического развития </w:t>
      </w:r>
      <w:r w:rsidR="00674005">
        <w:rPr>
          <w:u w:val="single"/>
        </w:rPr>
        <w:t>Лукиновского</w:t>
      </w:r>
      <w:r w:rsidRPr="007E0FCE">
        <w:rPr>
          <w:u w:val="single"/>
        </w:rPr>
        <w:t xml:space="preserve"> </w:t>
      </w:r>
      <w:r w:rsidR="00551714">
        <w:rPr>
          <w:u w:val="single"/>
        </w:rPr>
        <w:t>сельского поселения</w:t>
      </w:r>
      <w:r w:rsidRPr="007E0FCE">
        <w:rPr>
          <w:u w:val="single"/>
        </w:rPr>
        <w:t xml:space="preserve"> за 9 месяцев 20</w:t>
      </w:r>
      <w:r w:rsidR="00A316AA" w:rsidRPr="007E0FCE">
        <w:rPr>
          <w:u w:val="single"/>
        </w:rPr>
        <w:t>20</w:t>
      </w:r>
      <w:r w:rsidRPr="007E0FCE">
        <w:rPr>
          <w:u w:val="single"/>
        </w:rPr>
        <w:t xml:space="preserve"> года и ожидаемые итоги за текущий </w:t>
      </w:r>
      <w:r w:rsidR="00310024" w:rsidRPr="007E0FCE">
        <w:rPr>
          <w:u w:val="single"/>
        </w:rPr>
        <w:t>2020</w:t>
      </w:r>
      <w:r w:rsidRPr="007E0FCE">
        <w:rPr>
          <w:u w:val="single"/>
        </w:rPr>
        <w:t xml:space="preserve"> год</w:t>
      </w:r>
      <w:r w:rsidRPr="007E0FCE">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674005">
        <w:rPr>
          <w:u w:val="single"/>
        </w:rPr>
        <w:t>Лукиновского</w:t>
      </w:r>
      <w:r w:rsidRPr="00702EA9">
        <w:rPr>
          <w:u w:val="single"/>
        </w:rPr>
        <w:t xml:space="preserve"> </w:t>
      </w:r>
      <w:r w:rsidR="00551714">
        <w:rPr>
          <w:u w:val="single"/>
        </w:rPr>
        <w:t>сельского поселения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674005">
        <w:t>Лукиновского</w:t>
      </w:r>
      <w:r w:rsidR="00551714">
        <w:t xml:space="preserve"> сельского поселения </w:t>
      </w:r>
      <w:r w:rsidR="00D61F1F" w:rsidRPr="00E83035">
        <w:t>на 20</w:t>
      </w:r>
      <w:r w:rsidR="00D61F1F">
        <w:t>2</w:t>
      </w:r>
      <w:r>
        <w:t>1</w:t>
      </w:r>
      <w:r w:rsidR="00D61F1F" w:rsidRPr="00E83035">
        <w:t>-202</w:t>
      </w:r>
      <w:r>
        <w:t>3</w:t>
      </w:r>
      <w:r w:rsidR="00D61F1F" w:rsidRPr="00E83035">
        <w:t xml:space="preserve"> годы </w:t>
      </w:r>
      <w:r w:rsidR="0019153F">
        <w:t>разработан на вариативной основе</w:t>
      </w:r>
      <w:r w:rsidR="00551714">
        <w:t xml:space="preserve"> (два варианта</w:t>
      </w:r>
      <w:r w:rsidR="00821E2C">
        <w:t xml:space="preserve">) </w:t>
      </w:r>
      <w:r w:rsidR="0019153F">
        <w:t>и</w:t>
      </w:r>
      <w:r w:rsidR="00CD36F0">
        <w:t xml:space="preserve"> </w:t>
      </w:r>
      <w:r w:rsidR="00D61F1F" w:rsidRPr="00E83035">
        <w:t xml:space="preserve">одобрен постановлением администрации </w:t>
      </w:r>
      <w:r w:rsidR="00674005">
        <w:t>Лукиновского</w:t>
      </w:r>
      <w:r w:rsidR="00D61F1F" w:rsidRPr="00E83035">
        <w:t xml:space="preserve"> сельского поселения от </w:t>
      </w:r>
      <w:r w:rsidR="00821E2C">
        <w:t>16</w:t>
      </w:r>
      <w:r w:rsidR="00D61F1F" w:rsidRPr="00E83035">
        <w:t>.1</w:t>
      </w:r>
      <w:r w:rsidR="00551714">
        <w:t>1</w:t>
      </w:r>
      <w:r w:rsidR="00D61F1F" w:rsidRPr="00E83035">
        <w:t>.20</w:t>
      </w:r>
      <w:r>
        <w:t>20</w:t>
      </w:r>
      <w:r w:rsidR="00D61F1F" w:rsidRPr="00E83035">
        <w:t xml:space="preserve"> № </w:t>
      </w:r>
      <w:r w:rsidR="00821E2C">
        <w:t>30</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955EF4" w:rsidRPr="00955EF4" w:rsidRDefault="00955EF4" w:rsidP="00955EF4">
      <w:pPr>
        <w:ind w:firstLine="567"/>
        <w:jc w:val="both"/>
        <w:rPr>
          <w:i/>
        </w:rPr>
      </w:pPr>
      <w:r w:rsidRPr="00955EF4">
        <w:rPr>
          <w:i/>
        </w:rPr>
        <w:t xml:space="preserve">В </w:t>
      </w:r>
      <w:r w:rsidR="00551714">
        <w:rPr>
          <w:i/>
        </w:rPr>
        <w:t xml:space="preserve">нарушение </w:t>
      </w:r>
      <w:r w:rsidRPr="00955EF4">
        <w:rPr>
          <w:i/>
        </w:rPr>
        <w:t xml:space="preserve">требований абзаца 2 пункта 4 статьи 173 БК РФ </w:t>
      </w:r>
      <w:bookmarkStart w:id="1" w:name="sub_173402"/>
      <w:r w:rsidR="00551714">
        <w:rPr>
          <w:i/>
        </w:rPr>
        <w:t xml:space="preserve">в представленной </w:t>
      </w:r>
      <w:r w:rsidRPr="00955EF4">
        <w:rPr>
          <w:i/>
        </w:rPr>
        <w:t>пояснительн</w:t>
      </w:r>
      <w:r w:rsidR="00551714">
        <w:rPr>
          <w:i/>
        </w:rPr>
        <w:t>ой</w:t>
      </w:r>
      <w:r w:rsidRPr="00955EF4">
        <w:rPr>
          <w:i/>
        </w:rPr>
        <w:t xml:space="preserve"> записк</w:t>
      </w:r>
      <w:r w:rsidR="00551714">
        <w:rPr>
          <w:i/>
        </w:rPr>
        <w:t>е</w:t>
      </w:r>
      <w:r w:rsidRPr="00955EF4">
        <w:rPr>
          <w:i/>
        </w:rPr>
        <w:t xml:space="preserve"> к Прогнозу </w:t>
      </w:r>
      <w:r w:rsidR="00551714">
        <w:rPr>
          <w:i/>
        </w:rPr>
        <w:t>не</w:t>
      </w:r>
      <w:r w:rsidRPr="00955EF4">
        <w:rPr>
          <w:i/>
        </w:rPr>
        <w:t xml:space="preserve"> приводится обоснование параметров прогноза </w:t>
      </w:r>
      <w:r w:rsidR="00B63B2C">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sidR="00B63B2C">
        <w:rPr>
          <w:i/>
        </w:rPr>
        <w:t xml:space="preserve">), </w:t>
      </w:r>
      <w:r w:rsidR="00551714">
        <w:rPr>
          <w:i/>
        </w:rPr>
        <w:t>не</w:t>
      </w:r>
      <w:r w:rsidR="00B63B2C">
        <w:rPr>
          <w:i/>
        </w:rPr>
        <w:t xml:space="preserve"> указывается какой вариант </w:t>
      </w:r>
      <w:r w:rsidR="003F7A39">
        <w:rPr>
          <w:i/>
        </w:rPr>
        <w:t xml:space="preserve">(базовый или консервативный) </w:t>
      </w:r>
      <w:r w:rsidR="00B63B2C">
        <w:rPr>
          <w:i/>
        </w:rPr>
        <w:t>Прогноза взят за основу</w:t>
      </w:r>
      <w:r w:rsidR="0006007E">
        <w:rPr>
          <w:i/>
        </w:rPr>
        <w:t>.</w:t>
      </w:r>
      <w:r w:rsidR="00B63B2C">
        <w:rPr>
          <w:i/>
        </w:rPr>
        <w:t xml:space="preserve">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994B3D" w:rsidRDefault="00994B3D" w:rsidP="00955EF4">
      <w:pPr>
        <w:ind w:firstLine="567"/>
        <w:jc w:val="both"/>
      </w:pPr>
      <w:r>
        <w:t xml:space="preserve">Анализ социально-экономического развития </w:t>
      </w:r>
      <w:r w:rsidR="00674005">
        <w:t>Лукиновского</w:t>
      </w:r>
      <w:r w:rsidR="00CD36F0">
        <w:t xml:space="preserve"> </w:t>
      </w:r>
      <w:r>
        <w:t>муниципального образования на 2021-2023 годы представлен в таблице</w:t>
      </w:r>
      <w:r w:rsidR="0044286D">
        <w:t xml:space="preserve"> 1</w:t>
      </w:r>
      <w:r>
        <w:t>:</w:t>
      </w:r>
    </w:p>
    <w:p w:rsidR="00994B3D" w:rsidRDefault="0044286D" w:rsidP="0044286D">
      <w:pPr>
        <w:ind w:firstLine="567"/>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3"/>
        <w:gridCol w:w="1000"/>
        <w:gridCol w:w="1029"/>
        <w:gridCol w:w="1235"/>
        <w:gridCol w:w="1096"/>
        <w:gridCol w:w="1000"/>
        <w:gridCol w:w="1000"/>
        <w:gridCol w:w="1000"/>
      </w:tblGrid>
      <w:tr w:rsidR="00AB7F84" w:rsidTr="00E45F9A">
        <w:tc>
          <w:tcPr>
            <w:tcW w:w="2494"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показатели</w:t>
            </w:r>
          </w:p>
        </w:tc>
        <w:tc>
          <w:tcPr>
            <w:tcW w:w="1000"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Факт 2019г.</w:t>
            </w:r>
          </w:p>
        </w:tc>
        <w:tc>
          <w:tcPr>
            <w:tcW w:w="1029"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w:t>
            </w:r>
            <w:r w:rsidR="00994B3D" w:rsidRPr="00AB7F84">
              <w:rPr>
                <w:sz w:val="20"/>
                <w:szCs w:val="20"/>
              </w:rPr>
              <w:t>ценка</w:t>
            </w:r>
          </w:p>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2020г. по Прогнозу</w:t>
            </w:r>
          </w:p>
        </w:tc>
        <w:tc>
          <w:tcPr>
            <w:tcW w:w="1235"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Ожидаемые итоги за 2020г.</w:t>
            </w:r>
          </w:p>
        </w:tc>
        <w:tc>
          <w:tcPr>
            <w:tcW w:w="4096" w:type="dxa"/>
            <w:gridSpan w:val="4"/>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прогноз</w:t>
            </w:r>
          </w:p>
        </w:tc>
      </w:tr>
      <w:tr w:rsidR="00AB7F84" w:rsidTr="00E45F9A">
        <w:tc>
          <w:tcPr>
            <w:tcW w:w="2494"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000"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029"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235"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2096" w:type="dxa"/>
            <w:gridSpan w:val="2"/>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2021г.</w:t>
            </w:r>
          </w:p>
        </w:tc>
        <w:tc>
          <w:tcPr>
            <w:tcW w:w="1000"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2022г.</w:t>
            </w:r>
          </w:p>
        </w:tc>
        <w:tc>
          <w:tcPr>
            <w:tcW w:w="1000"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2023г.</w:t>
            </w:r>
          </w:p>
        </w:tc>
      </w:tr>
      <w:tr w:rsidR="00AB7F84" w:rsidTr="00E45F9A">
        <w:tc>
          <w:tcPr>
            <w:tcW w:w="2494" w:type="dxa"/>
            <w:vMerge/>
          </w:tcPr>
          <w:p w:rsidR="00994B3D" w:rsidRDefault="00994B3D" w:rsidP="00AB7F84">
            <w:pPr>
              <w:overflowPunct w:val="0"/>
              <w:autoSpaceDE w:val="0"/>
              <w:autoSpaceDN w:val="0"/>
              <w:adjustRightInd w:val="0"/>
              <w:jc w:val="both"/>
              <w:textAlignment w:val="baseline"/>
            </w:pPr>
          </w:p>
        </w:tc>
        <w:tc>
          <w:tcPr>
            <w:tcW w:w="1000" w:type="dxa"/>
            <w:vMerge/>
          </w:tcPr>
          <w:p w:rsidR="00994B3D" w:rsidRDefault="00994B3D" w:rsidP="00AB7F84">
            <w:pPr>
              <w:overflowPunct w:val="0"/>
              <w:autoSpaceDE w:val="0"/>
              <w:autoSpaceDN w:val="0"/>
              <w:adjustRightInd w:val="0"/>
              <w:jc w:val="both"/>
              <w:textAlignment w:val="baseline"/>
            </w:pPr>
          </w:p>
        </w:tc>
        <w:tc>
          <w:tcPr>
            <w:tcW w:w="1029" w:type="dxa"/>
            <w:vMerge/>
          </w:tcPr>
          <w:p w:rsidR="00994B3D" w:rsidRDefault="00994B3D" w:rsidP="00AB7F84">
            <w:pPr>
              <w:overflowPunct w:val="0"/>
              <w:autoSpaceDE w:val="0"/>
              <w:autoSpaceDN w:val="0"/>
              <w:adjustRightInd w:val="0"/>
              <w:jc w:val="both"/>
              <w:textAlignment w:val="baseline"/>
            </w:pPr>
          </w:p>
        </w:tc>
        <w:tc>
          <w:tcPr>
            <w:tcW w:w="1235" w:type="dxa"/>
            <w:vMerge/>
          </w:tcPr>
          <w:p w:rsidR="00994B3D" w:rsidRPr="003855DD" w:rsidRDefault="00994B3D" w:rsidP="00AB7F84">
            <w:pPr>
              <w:overflowPunct w:val="0"/>
              <w:autoSpaceDE w:val="0"/>
              <w:autoSpaceDN w:val="0"/>
              <w:adjustRightInd w:val="0"/>
              <w:jc w:val="both"/>
              <w:textAlignment w:val="baseline"/>
            </w:pPr>
          </w:p>
        </w:tc>
        <w:tc>
          <w:tcPr>
            <w:tcW w:w="1096" w:type="dxa"/>
          </w:tcPr>
          <w:p w:rsidR="00994B3D" w:rsidRPr="00821E2C" w:rsidRDefault="00994B3D" w:rsidP="00821E2C">
            <w:pPr>
              <w:overflowPunct w:val="0"/>
              <w:autoSpaceDE w:val="0"/>
              <w:autoSpaceDN w:val="0"/>
              <w:adjustRightInd w:val="0"/>
              <w:jc w:val="both"/>
              <w:textAlignment w:val="baseline"/>
              <w:rPr>
                <w:sz w:val="20"/>
                <w:szCs w:val="20"/>
              </w:rPr>
            </w:pPr>
            <w:r w:rsidRPr="00821E2C">
              <w:rPr>
                <w:sz w:val="20"/>
                <w:szCs w:val="20"/>
              </w:rPr>
              <w:t>1 вар.</w:t>
            </w:r>
            <w:r w:rsidR="003F7A39" w:rsidRPr="00821E2C">
              <w:rPr>
                <w:sz w:val="20"/>
                <w:szCs w:val="20"/>
              </w:rPr>
              <w:t xml:space="preserve"> </w:t>
            </w:r>
          </w:p>
        </w:tc>
        <w:tc>
          <w:tcPr>
            <w:tcW w:w="1000" w:type="dxa"/>
          </w:tcPr>
          <w:p w:rsidR="00994B3D" w:rsidRPr="00AB7F84" w:rsidRDefault="00994B3D" w:rsidP="00AB7F84">
            <w:pPr>
              <w:overflowPunct w:val="0"/>
              <w:autoSpaceDE w:val="0"/>
              <w:autoSpaceDN w:val="0"/>
              <w:adjustRightInd w:val="0"/>
              <w:jc w:val="both"/>
              <w:textAlignment w:val="baseline"/>
              <w:rPr>
                <w:sz w:val="20"/>
                <w:szCs w:val="20"/>
              </w:rPr>
            </w:pPr>
            <w:r w:rsidRPr="00AB7F84">
              <w:rPr>
                <w:sz w:val="20"/>
                <w:szCs w:val="20"/>
              </w:rPr>
              <w:t>2 вар.</w:t>
            </w:r>
          </w:p>
        </w:tc>
        <w:tc>
          <w:tcPr>
            <w:tcW w:w="1000" w:type="dxa"/>
            <w:vMerge/>
          </w:tcPr>
          <w:p w:rsidR="00994B3D" w:rsidRDefault="00994B3D" w:rsidP="00AB7F84">
            <w:pPr>
              <w:overflowPunct w:val="0"/>
              <w:autoSpaceDE w:val="0"/>
              <w:autoSpaceDN w:val="0"/>
              <w:adjustRightInd w:val="0"/>
              <w:jc w:val="both"/>
              <w:textAlignment w:val="baseline"/>
            </w:pPr>
          </w:p>
        </w:tc>
        <w:tc>
          <w:tcPr>
            <w:tcW w:w="1000" w:type="dxa"/>
            <w:vMerge/>
          </w:tcPr>
          <w:p w:rsidR="00994B3D" w:rsidRDefault="00994B3D" w:rsidP="00AB7F84">
            <w:pPr>
              <w:overflowPunct w:val="0"/>
              <w:autoSpaceDE w:val="0"/>
              <w:autoSpaceDN w:val="0"/>
              <w:adjustRightInd w:val="0"/>
              <w:jc w:val="both"/>
              <w:textAlignment w:val="baseline"/>
            </w:pPr>
          </w:p>
        </w:tc>
      </w:tr>
      <w:tr w:rsidR="00AB7F84" w:rsidTr="00E45F9A">
        <w:tc>
          <w:tcPr>
            <w:tcW w:w="2494" w:type="dxa"/>
          </w:tcPr>
          <w:p w:rsidR="00994B3D" w:rsidRPr="00AB7F84" w:rsidRDefault="00744871" w:rsidP="00AB7F84">
            <w:pPr>
              <w:overflowPunct w:val="0"/>
              <w:autoSpaceDE w:val="0"/>
              <w:autoSpaceDN w:val="0"/>
              <w:adjustRightInd w:val="0"/>
              <w:jc w:val="both"/>
              <w:textAlignment w:val="baseline"/>
              <w:rPr>
                <w:sz w:val="20"/>
                <w:szCs w:val="20"/>
              </w:rPr>
            </w:pPr>
            <w:r w:rsidRPr="00AB7F84">
              <w:rPr>
                <w:sz w:val="20"/>
                <w:szCs w:val="20"/>
              </w:rPr>
              <w:t xml:space="preserve">Выручка от реализации </w:t>
            </w:r>
            <w:r w:rsidR="00321FDA" w:rsidRPr="00AB7F84">
              <w:rPr>
                <w:sz w:val="20"/>
                <w:szCs w:val="20"/>
              </w:rPr>
              <w:t>продукции</w:t>
            </w:r>
            <w:r w:rsidRPr="00AB7F84">
              <w:rPr>
                <w:sz w:val="20"/>
                <w:szCs w:val="20"/>
              </w:rPr>
              <w:t xml:space="preserve"> (работ, услуг), млн. руб.</w:t>
            </w:r>
          </w:p>
        </w:tc>
        <w:tc>
          <w:tcPr>
            <w:tcW w:w="1000"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3,8</w:t>
            </w:r>
          </w:p>
        </w:tc>
        <w:tc>
          <w:tcPr>
            <w:tcW w:w="1029"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3,9</w:t>
            </w:r>
          </w:p>
        </w:tc>
        <w:tc>
          <w:tcPr>
            <w:tcW w:w="1235" w:type="dxa"/>
            <w:vAlign w:val="center"/>
          </w:tcPr>
          <w:p w:rsidR="00994B3D" w:rsidRPr="00821E2C" w:rsidRDefault="00821E2C" w:rsidP="00AB7F84">
            <w:pPr>
              <w:overflowPunct w:val="0"/>
              <w:autoSpaceDE w:val="0"/>
              <w:autoSpaceDN w:val="0"/>
              <w:adjustRightInd w:val="0"/>
              <w:jc w:val="center"/>
              <w:textAlignment w:val="baseline"/>
              <w:rPr>
                <w:b/>
                <w:sz w:val="20"/>
                <w:szCs w:val="20"/>
              </w:rPr>
            </w:pPr>
            <w:r w:rsidRPr="00821E2C">
              <w:rPr>
                <w:b/>
                <w:sz w:val="20"/>
                <w:szCs w:val="20"/>
              </w:rPr>
              <w:t>0,325</w:t>
            </w:r>
          </w:p>
        </w:tc>
        <w:tc>
          <w:tcPr>
            <w:tcW w:w="1096"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4</w:t>
            </w:r>
          </w:p>
        </w:tc>
        <w:tc>
          <w:tcPr>
            <w:tcW w:w="1000"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4,1</w:t>
            </w:r>
          </w:p>
        </w:tc>
        <w:tc>
          <w:tcPr>
            <w:tcW w:w="1000"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4,1</w:t>
            </w:r>
          </w:p>
        </w:tc>
        <w:tc>
          <w:tcPr>
            <w:tcW w:w="1000" w:type="dxa"/>
            <w:vAlign w:val="center"/>
          </w:tcPr>
          <w:p w:rsidR="00994B3D" w:rsidRPr="00AB7F84" w:rsidRDefault="00821E2C" w:rsidP="00AB7F84">
            <w:pPr>
              <w:overflowPunct w:val="0"/>
              <w:autoSpaceDE w:val="0"/>
              <w:autoSpaceDN w:val="0"/>
              <w:adjustRightInd w:val="0"/>
              <w:jc w:val="center"/>
              <w:textAlignment w:val="baseline"/>
              <w:rPr>
                <w:sz w:val="20"/>
                <w:szCs w:val="20"/>
              </w:rPr>
            </w:pPr>
            <w:r>
              <w:rPr>
                <w:sz w:val="20"/>
                <w:szCs w:val="20"/>
              </w:rPr>
              <w:t>4,1</w:t>
            </w:r>
          </w:p>
        </w:tc>
      </w:tr>
      <w:tr w:rsidR="00AB7F84" w:rsidTr="00E45F9A">
        <w:tc>
          <w:tcPr>
            <w:tcW w:w="2494" w:type="dxa"/>
          </w:tcPr>
          <w:p w:rsidR="00744871" w:rsidRPr="00AB7F84" w:rsidRDefault="00744871" w:rsidP="00AB7F84">
            <w:pPr>
              <w:overflowPunct w:val="0"/>
              <w:autoSpaceDE w:val="0"/>
              <w:autoSpaceDN w:val="0"/>
              <w:adjustRightInd w:val="0"/>
              <w:jc w:val="both"/>
              <w:textAlignment w:val="baseline"/>
              <w:rPr>
                <w:sz w:val="20"/>
                <w:szCs w:val="20"/>
              </w:rPr>
            </w:pPr>
            <w:r w:rsidRPr="00AB7F84">
              <w:rPr>
                <w:sz w:val="20"/>
                <w:szCs w:val="20"/>
              </w:rPr>
              <w:t>Численность постоянного населения, тыс. чел.</w:t>
            </w:r>
          </w:p>
        </w:tc>
        <w:tc>
          <w:tcPr>
            <w:tcW w:w="1000" w:type="dxa"/>
            <w:vAlign w:val="center"/>
          </w:tcPr>
          <w:p w:rsidR="00744871" w:rsidRPr="00AB7F84" w:rsidRDefault="00821E2C" w:rsidP="00AB7F84">
            <w:pPr>
              <w:overflowPunct w:val="0"/>
              <w:autoSpaceDE w:val="0"/>
              <w:autoSpaceDN w:val="0"/>
              <w:adjustRightInd w:val="0"/>
              <w:jc w:val="center"/>
              <w:textAlignment w:val="baseline"/>
              <w:rPr>
                <w:sz w:val="20"/>
                <w:szCs w:val="20"/>
              </w:rPr>
            </w:pPr>
            <w:r>
              <w:rPr>
                <w:sz w:val="20"/>
                <w:szCs w:val="20"/>
              </w:rPr>
              <w:t>0,139</w:t>
            </w:r>
          </w:p>
        </w:tc>
        <w:tc>
          <w:tcPr>
            <w:tcW w:w="1029" w:type="dxa"/>
            <w:vAlign w:val="center"/>
          </w:tcPr>
          <w:p w:rsidR="00744871" w:rsidRPr="00AB7F84" w:rsidRDefault="00821E2C" w:rsidP="00AB7F84">
            <w:pPr>
              <w:overflowPunct w:val="0"/>
              <w:autoSpaceDE w:val="0"/>
              <w:autoSpaceDN w:val="0"/>
              <w:adjustRightInd w:val="0"/>
              <w:jc w:val="center"/>
              <w:textAlignment w:val="baseline"/>
              <w:rPr>
                <w:sz w:val="20"/>
                <w:szCs w:val="20"/>
              </w:rPr>
            </w:pPr>
            <w:r>
              <w:rPr>
                <w:sz w:val="20"/>
                <w:szCs w:val="20"/>
              </w:rPr>
              <w:t>0,130</w:t>
            </w:r>
          </w:p>
        </w:tc>
        <w:tc>
          <w:tcPr>
            <w:tcW w:w="1235" w:type="dxa"/>
            <w:vAlign w:val="center"/>
          </w:tcPr>
          <w:p w:rsidR="00744871" w:rsidRPr="00AB7F84" w:rsidRDefault="00821E2C" w:rsidP="00AB7F84">
            <w:pPr>
              <w:overflowPunct w:val="0"/>
              <w:autoSpaceDE w:val="0"/>
              <w:autoSpaceDN w:val="0"/>
              <w:adjustRightInd w:val="0"/>
              <w:jc w:val="center"/>
              <w:textAlignment w:val="baseline"/>
              <w:rPr>
                <w:sz w:val="20"/>
                <w:szCs w:val="20"/>
              </w:rPr>
            </w:pPr>
            <w:r>
              <w:rPr>
                <w:sz w:val="20"/>
                <w:szCs w:val="20"/>
              </w:rPr>
              <w:t>0,130</w:t>
            </w:r>
          </w:p>
        </w:tc>
        <w:tc>
          <w:tcPr>
            <w:tcW w:w="1096" w:type="dxa"/>
            <w:vAlign w:val="center"/>
          </w:tcPr>
          <w:p w:rsidR="00744871" w:rsidRPr="00AB7F84" w:rsidRDefault="00821E2C" w:rsidP="00AB7F84">
            <w:pPr>
              <w:overflowPunct w:val="0"/>
              <w:autoSpaceDE w:val="0"/>
              <w:autoSpaceDN w:val="0"/>
              <w:adjustRightInd w:val="0"/>
              <w:jc w:val="center"/>
              <w:textAlignment w:val="baseline"/>
              <w:rPr>
                <w:sz w:val="20"/>
                <w:szCs w:val="20"/>
              </w:rPr>
            </w:pPr>
            <w:r>
              <w:rPr>
                <w:sz w:val="20"/>
                <w:szCs w:val="20"/>
              </w:rPr>
              <w:t>0,130</w:t>
            </w:r>
          </w:p>
        </w:tc>
        <w:tc>
          <w:tcPr>
            <w:tcW w:w="1000" w:type="dxa"/>
            <w:vAlign w:val="center"/>
          </w:tcPr>
          <w:p w:rsidR="00744871" w:rsidRPr="00AB7F84" w:rsidRDefault="00821E2C" w:rsidP="00821E2C">
            <w:pPr>
              <w:overflowPunct w:val="0"/>
              <w:autoSpaceDE w:val="0"/>
              <w:autoSpaceDN w:val="0"/>
              <w:adjustRightInd w:val="0"/>
              <w:jc w:val="center"/>
              <w:textAlignment w:val="baseline"/>
              <w:rPr>
                <w:sz w:val="20"/>
                <w:szCs w:val="20"/>
              </w:rPr>
            </w:pPr>
            <w:r>
              <w:rPr>
                <w:sz w:val="20"/>
                <w:szCs w:val="20"/>
              </w:rPr>
              <w:t>0,130</w:t>
            </w:r>
          </w:p>
        </w:tc>
        <w:tc>
          <w:tcPr>
            <w:tcW w:w="1000" w:type="dxa"/>
            <w:vAlign w:val="center"/>
          </w:tcPr>
          <w:p w:rsidR="00744871" w:rsidRPr="00AB7F84" w:rsidRDefault="00821E2C" w:rsidP="00AB7F84">
            <w:pPr>
              <w:overflowPunct w:val="0"/>
              <w:autoSpaceDE w:val="0"/>
              <w:autoSpaceDN w:val="0"/>
              <w:adjustRightInd w:val="0"/>
              <w:jc w:val="center"/>
              <w:textAlignment w:val="baseline"/>
              <w:rPr>
                <w:sz w:val="20"/>
                <w:szCs w:val="20"/>
              </w:rPr>
            </w:pPr>
            <w:r>
              <w:rPr>
                <w:sz w:val="20"/>
                <w:szCs w:val="20"/>
              </w:rPr>
              <w:t>0,130</w:t>
            </w:r>
          </w:p>
        </w:tc>
        <w:tc>
          <w:tcPr>
            <w:tcW w:w="1000" w:type="dxa"/>
            <w:vAlign w:val="center"/>
          </w:tcPr>
          <w:p w:rsidR="00744871" w:rsidRPr="00AB7F84" w:rsidRDefault="00821E2C" w:rsidP="00821E2C">
            <w:pPr>
              <w:overflowPunct w:val="0"/>
              <w:autoSpaceDE w:val="0"/>
              <w:autoSpaceDN w:val="0"/>
              <w:adjustRightInd w:val="0"/>
              <w:jc w:val="center"/>
              <w:textAlignment w:val="baseline"/>
              <w:rPr>
                <w:sz w:val="20"/>
                <w:szCs w:val="20"/>
              </w:rPr>
            </w:pPr>
            <w:r>
              <w:rPr>
                <w:sz w:val="20"/>
                <w:szCs w:val="20"/>
              </w:rPr>
              <w:t>0,130</w:t>
            </w:r>
          </w:p>
        </w:tc>
      </w:tr>
      <w:tr w:rsidR="00821E2C" w:rsidTr="00E45F9A">
        <w:tc>
          <w:tcPr>
            <w:tcW w:w="2494" w:type="dxa"/>
          </w:tcPr>
          <w:p w:rsidR="00821E2C" w:rsidRPr="00AB7F84" w:rsidRDefault="00821E2C" w:rsidP="00AB7F84">
            <w:pPr>
              <w:overflowPunct w:val="0"/>
              <w:autoSpaceDE w:val="0"/>
              <w:autoSpaceDN w:val="0"/>
              <w:adjustRightInd w:val="0"/>
              <w:jc w:val="both"/>
              <w:textAlignment w:val="baseline"/>
              <w:rPr>
                <w:sz w:val="20"/>
                <w:szCs w:val="20"/>
              </w:rPr>
            </w:pPr>
            <w:r w:rsidRPr="00AB7F84">
              <w:rPr>
                <w:sz w:val="20"/>
                <w:szCs w:val="20"/>
              </w:rPr>
              <w:t>Среднесписочная численность работников по полному кругу организаций, тыс. чел.</w:t>
            </w:r>
          </w:p>
        </w:tc>
        <w:tc>
          <w:tcPr>
            <w:tcW w:w="1000"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0,044</w:t>
            </w:r>
          </w:p>
        </w:tc>
        <w:tc>
          <w:tcPr>
            <w:tcW w:w="1029"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0,043</w:t>
            </w:r>
          </w:p>
        </w:tc>
        <w:tc>
          <w:tcPr>
            <w:tcW w:w="1235"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0,043</w:t>
            </w:r>
          </w:p>
        </w:tc>
        <w:tc>
          <w:tcPr>
            <w:tcW w:w="1096"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0,043</w:t>
            </w:r>
          </w:p>
        </w:tc>
        <w:tc>
          <w:tcPr>
            <w:tcW w:w="1000"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w:t>
            </w:r>
          </w:p>
        </w:tc>
        <w:tc>
          <w:tcPr>
            <w:tcW w:w="1000"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0,043</w:t>
            </w:r>
          </w:p>
        </w:tc>
        <w:tc>
          <w:tcPr>
            <w:tcW w:w="1000" w:type="dxa"/>
            <w:vAlign w:val="center"/>
          </w:tcPr>
          <w:p w:rsidR="00821E2C" w:rsidRPr="00AB7F84" w:rsidRDefault="00821E2C" w:rsidP="00A05BA4">
            <w:pPr>
              <w:overflowPunct w:val="0"/>
              <w:autoSpaceDE w:val="0"/>
              <w:autoSpaceDN w:val="0"/>
              <w:adjustRightInd w:val="0"/>
              <w:jc w:val="center"/>
              <w:textAlignment w:val="baseline"/>
              <w:rPr>
                <w:sz w:val="20"/>
                <w:szCs w:val="20"/>
              </w:rPr>
            </w:pPr>
            <w:r>
              <w:rPr>
                <w:sz w:val="20"/>
                <w:szCs w:val="20"/>
              </w:rPr>
              <w:t>0,043</w:t>
            </w:r>
          </w:p>
        </w:tc>
      </w:tr>
      <w:tr w:rsidR="00E45F9A" w:rsidTr="00E45F9A">
        <w:tc>
          <w:tcPr>
            <w:tcW w:w="2494" w:type="dxa"/>
          </w:tcPr>
          <w:p w:rsidR="00E45F9A" w:rsidRPr="00AB7F84" w:rsidRDefault="00E45F9A" w:rsidP="00AB7F84">
            <w:pPr>
              <w:overflowPunct w:val="0"/>
              <w:autoSpaceDE w:val="0"/>
              <w:autoSpaceDN w:val="0"/>
              <w:adjustRightInd w:val="0"/>
              <w:jc w:val="both"/>
              <w:textAlignment w:val="baseline"/>
              <w:rPr>
                <w:sz w:val="20"/>
                <w:szCs w:val="20"/>
              </w:rPr>
            </w:pPr>
            <w:r w:rsidRPr="00AB7F84">
              <w:rPr>
                <w:sz w:val="20"/>
                <w:szCs w:val="20"/>
              </w:rPr>
              <w:t>Фонд заработной платы по полному кругу организаций, млн. руб.</w:t>
            </w:r>
          </w:p>
        </w:tc>
        <w:tc>
          <w:tcPr>
            <w:tcW w:w="1000"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сведений нет</w:t>
            </w:r>
          </w:p>
        </w:tc>
        <w:tc>
          <w:tcPr>
            <w:tcW w:w="1029" w:type="dxa"/>
            <w:vAlign w:val="center"/>
          </w:tcPr>
          <w:p w:rsidR="00E45F9A" w:rsidRPr="00AB7F84" w:rsidRDefault="00E45F9A" w:rsidP="00A05BA4">
            <w:pPr>
              <w:overflowPunct w:val="0"/>
              <w:autoSpaceDE w:val="0"/>
              <w:autoSpaceDN w:val="0"/>
              <w:adjustRightInd w:val="0"/>
              <w:jc w:val="center"/>
              <w:textAlignment w:val="baseline"/>
              <w:rPr>
                <w:sz w:val="20"/>
                <w:szCs w:val="20"/>
              </w:rPr>
            </w:pPr>
            <w:r>
              <w:rPr>
                <w:sz w:val="20"/>
                <w:szCs w:val="20"/>
              </w:rPr>
              <w:t>сведений нет</w:t>
            </w:r>
          </w:p>
        </w:tc>
        <w:tc>
          <w:tcPr>
            <w:tcW w:w="1235" w:type="dxa"/>
            <w:vAlign w:val="center"/>
          </w:tcPr>
          <w:p w:rsidR="00E45F9A" w:rsidRPr="00821E2C" w:rsidRDefault="00E45F9A" w:rsidP="00AB7F84">
            <w:pPr>
              <w:overflowPunct w:val="0"/>
              <w:autoSpaceDE w:val="0"/>
              <w:autoSpaceDN w:val="0"/>
              <w:adjustRightInd w:val="0"/>
              <w:jc w:val="center"/>
              <w:textAlignment w:val="baseline"/>
              <w:rPr>
                <w:b/>
                <w:sz w:val="20"/>
                <w:szCs w:val="20"/>
              </w:rPr>
            </w:pPr>
            <w:r w:rsidRPr="00821E2C">
              <w:rPr>
                <w:b/>
                <w:sz w:val="20"/>
                <w:szCs w:val="20"/>
              </w:rPr>
              <w:t>0,0</w:t>
            </w:r>
          </w:p>
        </w:tc>
        <w:tc>
          <w:tcPr>
            <w:tcW w:w="1096" w:type="dxa"/>
            <w:vAlign w:val="center"/>
          </w:tcPr>
          <w:p w:rsidR="00E45F9A" w:rsidRPr="00AB7F84" w:rsidRDefault="00E45F9A" w:rsidP="00A05BA4">
            <w:pPr>
              <w:overflowPunct w:val="0"/>
              <w:autoSpaceDE w:val="0"/>
              <w:autoSpaceDN w:val="0"/>
              <w:adjustRightInd w:val="0"/>
              <w:jc w:val="center"/>
              <w:textAlignment w:val="baseline"/>
              <w:rPr>
                <w:sz w:val="20"/>
                <w:szCs w:val="20"/>
              </w:rPr>
            </w:pPr>
            <w:r>
              <w:rPr>
                <w:sz w:val="20"/>
                <w:szCs w:val="20"/>
              </w:rPr>
              <w:t>сведений нет</w:t>
            </w:r>
          </w:p>
        </w:tc>
        <w:tc>
          <w:tcPr>
            <w:tcW w:w="1000" w:type="dxa"/>
            <w:vAlign w:val="center"/>
          </w:tcPr>
          <w:p w:rsidR="00E45F9A" w:rsidRPr="00AB7F84" w:rsidRDefault="00E45F9A" w:rsidP="00A05BA4">
            <w:pPr>
              <w:overflowPunct w:val="0"/>
              <w:autoSpaceDE w:val="0"/>
              <w:autoSpaceDN w:val="0"/>
              <w:adjustRightInd w:val="0"/>
              <w:jc w:val="center"/>
              <w:textAlignment w:val="baseline"/>
              <w:rPr>
                <w:sz w:val="20"/>
                <w:szCs w:val="20"/>
              </w:rPr>
            </w:pPr>
            <w:r>
              <w:rPr>
                <w:sz w:val="20"/>
                <w:szCs w:val="20"/>
              </w:rPr>
              <w:t>сведений нет</w:t>
            </w:r>
          </w:p>
        </w:tc>
        <w:tc>
          <w:tcPr>
            <w:tcW w:w="1000" w:type="dxa"/>
            <w:vAlign w:val="center"/>
          </w:tcPr>
          <w:p w:rsidR="00E45F9A" w:rsidRPr="00AB7F84" w:rsidRDefault="00E45F9A" w:rsidP="00A05BA4">
            <w:pPr>
              <w:overflowPunct w:val="0"/>
              <w:autoSpaceDE w:val="0"/>
              <w:autoSpaceDN w:val="0"/>
              <w:adjustRightInd w:val="0"/>
              <w:jc w:val="center"/>
              <w:textAlignment w:val="baseline"/>
              <w:rPr>
                <w:sz w:val="20"/>
                <w:szCs w:val="20"/>
              </w:rPr>
            </w:pPr>
            <w:r>
              <w:rPr>
                <w:sz w:val="20"/>
                <w:szCs w:val="20"/>
              </w:rPr>
              <w:t>сведений нет</w:t>
            </w:r>
          </w:p>
        </w:tc>
        <w:tc>
          <w:tcPr>
            <w:tcW w:w="1000" w:type="dxa"/>
            <w:vAlign w:val="center"/>
          </w:tcPr>
          <w:p w:rsidR="00E45F9A" w:rsidRPr="00AB7F84" w:rsidRDefault="00E45F9A" w:rsidP="00A05BA4">
            <w:pPr>
              <w:overflowPunct w:val="0"/>
              <w:autoSpaceDE w:val="0"/>
              <w:autoSpaceDN w:val="0"/>
              <w:adjustRightInd w:val="0"/>
              <w:jc w:val="center"/>
              <w:textAlignment w:val="baseline"/>
              <w:rPr>
                <w:sz w:val="20"/>
                <w:szCs w:val="20"/>
              </w:rPr>
            </w:pPr>
            <w:r>
              <w:rPr>
                <w:sz w:val="20"/>
                <w:szCs w:val="20"/>
              </w:rPr>
              <w:t>сведений нет</w:t>
            </w:r>
          </w:p>
        </w:tc>
      </w:tr>
      <w:tr w:rsidR="00E45F9A" w:rsidTr="00E45F9A">
        <w:tc>
          <w:tcPr>
            <w:tcW w:w="2494" w:type="dxa"/>
          </w:tcPr>
          <w:p w:rsidR="00E45F9A" w:rsidRPr="00AB7F84" w:rsidRDefault="00E45F9A" w:rsidP="00AB7F84">
            <w:pPr>
              <w:overflowPunct w:val="0"/>
              <w:autoSpaceDE w:val="0"/>
              <w:autoSpaceDN w:val="0"/>
              <w:adjustRightInd w:val="0"/>
              <w:jc w:val="both"/>
              <w:textAlignment w:val="baseline"/>
              <w:rPr>
                <w:sz w:val="20"/>
                <w:szCs w:val="20"/>
              </w:rPr>
            </w:pPr>
            <w:r w:rsidRPr="00AB7F84">
              <w:rPr>
                <w:sz w:val="20"/>
                <w:szCs w:val="20"/>
              </w:rPr>
              <w:t>Среднемесячная начисленная заработная плата (без выплат соц.характера) по полному кругу организаций, руб.</w:t>
            </w:r>
          </w:p>
        </w:tc>
        <w:tc>
          <w:tcPr>
            <w:tcW w:w="1000"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25569,9</w:t>
            </w:r>
          </w:p>
        </w:tc>
        <w:tc>
          <w:tcPr>
            <w:tcW w:w="1029"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28808,5</w:t>
            </w:r>
          </w:p>
        </w:tc>
        <w:tc>
          <w:tcPr>
            <w:tcW w:w="1235" w:type="dxa"/>
            <w:vAlign w:val="center"/>
          </w:tcPr>
          <w:p w:rsidR="00E45F9A" w:rsidRPr="00821E2C" w:rsidRDefault="00E45F9A" w:rsidP="00AB7F84">
            <w:pPr>
              <w:overflowPunct w:val="0"/>
              <w:autoSpaceDE w:val="0"/>
              <w:autoSpaceDN w:val="0"/>
              <w:adjustRightInd w:val="0"/>
              <w:jc w:val="center"/>
              <w:textAlignment w:val="baseline"/>
              <w:rPr>
                <w:b/>
                <w:sz w:val="20"/>
                <w:szCs w:val="20"/>
              </w:rPr>
            </w:pPr>
            <w:r w:rsidRPr="00821E2C">
              <w:rPr>
                <w:b/>
                <w:sz w:val="20"/>
                <w:szCs w:val="20"/>
              </w:rPr>
              <w:t>1189823,4</w:t>
            </w:r>
          </w:p>
        </w:tc>
        <w:tc>
          <w:tcPr>
            <w:tcW w:w="1096"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30533,5</w:t>
            </w:r>
          </w:p>
        </w:tc>
        <w:tc>
          <w:tcPr>
            <w:tcW w:w="1000"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31000</w:t>
            </w:r>
          </w:p>
        </w:tc>
        <w:tc>
          <w:tcPr>
            <w:tcW w:w="1000"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32293,6</w:t>
            </w:r>
          </w:p>
        </w:tc>
        <w:tc>
          <w:tcPr>
            <w:tcW w:w="1000" w:type="dxa"/>
            <w:vAlign w:val="center"/>
          </w:tcPr>
          <w:p w:rsidR="00E45F9A" w:rsidRPr="00AB7F84" w:rsidRDefault="00E45F9A" w:rsidP="00AB7F84">
            <w:pPr>
              <w:overflowPunct w:val="0"/>
              <w:autoSpaceDE w:val="0"/>
              <w:autoSpaceDN w:val="0"/>
              <w:adjustRightInd w:val="0"/>
              <w:jc w:val="center"/>
              <w:textAlignment w:val="baseline"/>
              <w:rPr>
                <w:sz w:val="20"/>
                <w:szCs w:val="20"/>
              </w:rPr>
            </w:pPr>
            <w:r>
              <w:rPr>
                <w:sz w:val="20"/>
                <w:szCs w:val="20"/>
              </w:rPr>
              <w:t>32293,6</w:t>
            </w:r>
          </w:p>
        </w:tc>
      </w:tr>
    </w:tbl>
    <w:p w:rsidR="00994B3D" w:rsidRDefault="00994B3D" w:rsidP="00D61F1F">
      <w:pPr>
        <w:ind w:firstLine="567"/>
        <w:jc w:val="both"/>
      </w:pPr>
    </w:p>
    <w:p w:rsidR="003B54E8" w:rsidRDefault="00321FDA" w:rsidP="00D61F1F">
      <w:pPr>
        <w:ind w:firstLine="567"/>
        <w:jc w:val="both"/>
      </w:pPr>
      <w:r>
        <w:t xml:space="preserve">Согласно показателей </w:t>
      </w:r>
      <w:r w:rsidR="003B54E8">
        <w:t xml:space="preserve">Прогноза, отраженных в </w:t>
      </w:r>
      <w:r>
        <w:t>таблиц</w:t>
      </w:r>
      <w:r w:rsidR="003B54E8">
        <w:t>е,</w:t>
      </w:r>
      <w:r>
        <w:t xml:space="preserve"> п</w:t>
      </w:r>
      <w:r w:rsidR="00D61F1F">
        <w:t>рогнозируется</w:t>
      </w:r>
      <w:r w:rsidR="003B54E8">
        <w:t>:</w:t>
      </w:r>
    </w:p>
    <w:p w:rsidR="00D61F1F" w:rsidRDefault="003B54E8" w:rsidP="00D61F1F">
      <w:pPr>
        <w:ind w:firstLine="567"/>
        <w:jc w:val="both"/>
      </w:pPr>
      <w:r>
        <w:t>-</w:t>
      </w:r>
      <w:r w:rsidR="00D61F1F">
        <w:t xml:space="preserve"> рост выручки от реализации продукции, работ, услуг (в действующих ценах) по полному кругу организаций в 202</w:t>
      </w:r>
      <w:r w:rsidR="00321FDA">
        <w:t>1</w:t>
      </w:r>
      <w:r w:rsidR="00D61F1F">
        <w:t xml:space="preserve"> году (+</w:t>
      </w:r>
      <w:r w:rsidR="00E45F9A">
        <w:t>2,6</w:t>
      </w:r>
      <w:r w:rsidR="00D61F1F">
        <w:t>% к оценке 20</w:t>
      </w:r>
      <w:r w:rsidR="00DE7370">
        <w:t>20</w:t>
      </w:r>
      <w:r w:rsidR="00D61F1F">
        <w:t xml:space="preserve"> года), в 202</w:t>
      </w:r>
      <w:r w:rsidR="00DE7370">
        <w:t>2</w:t>
      </w:r>
      <w:r w:rsidR="00D61F1F">
        <w:t xml:space="preserve"> году (+</w:t>
      </w:r>
      <w:r w:rsidR="00E45F9A">
        <w:t>2,5</w:t>
      </w:r>
      <w:r w:rsidR="00D61F1F">
        <w:t>% к 202</w:t>
      </w:r>
      <w:r w:rsidR="00DE7370">
        <w:t>1</w:t>
      </w:r>
      <w:r w:rsidR="00E45F9A">
        <w:t xml:space="preserve"> г.)</w:t>
      </w:r>
      <w:r w:rsidR="00D61F1F">
        <w:t>;</w:t>
      </w:r>
    </w:p>
    <w:p w:rsidR="00D61F1F" w:rsidRDefault="00D61F1F" w:rsidP="00D61F1F">
      <w:pPr>
        <w:ind w:firstLine="567"/>
        <w:jc w:val="both"/>
      </w:pPr>
      <w:r>
        <w:t>- рост</w:t>
      </w:r>
      <w:r w:rsidR="00EC782F">
        <w:t>а/убыли</w:t>
      </w:r>
      <w:r>
        <w:t xml:space="preserve"> численности постоянного населения в 202</w:t>
      </w:r>
      <w:r w:rsidR="00DE7370">
        <w:t>1</w:t>
      </w:r>
      <w:r w:rsidR="00EC782F">
        <w:t>-2023</w:t>
      </w:r>
      <w:r>
        <w:t xml:space="preserve"> </w:t>
      </w:r>
      <w:r w:rsidR="00EC782F">
        <w:t>гг. не прогнозируется</w:t>
      </w:r>
      <w:r>
        <w:t>;</w:t>
      </w:r>
    </w:p>
    <w:p w:rsidR="0086006F" w:rsidRDefault="002F33D7" w:rsidP="00D61F1F">
      <w:pPr>
        <w:ind w:firstLine="567"/>
        <w:jc w:val="both"/>
      </w:pPr>
      <w:r>
        <w:t xml:space="preserve">- </w:t>
      </w:r>
      <w:r w:rsidR="0086006F">
        <w:t xml:space="preserve">роста/снижения </w:t>
      </w:r>
      <w:r w:rsidRPr="002F33D7">
        <w:t>среднесписочной численности работников по полному кругу организаций</w:t>
      </w:r>
      <w:r>
        <w:t xml:space="preserve"> в 2020г. </w:t>
      </w:r>
      <w:r w:rsidR="0086006F">
        <w:t xml:space="preserve">не прогнозируется; </w:t>
      </w:r>
    </w:p>
    <w:p w:rsidR="00D61F1F" w:rsidRDefault="00D61F1F" w:rsidP="00D61F1F">
      <w:pPr>
        <w:ind w:firstLine="567"/>
        <w:jc w:val="both"/>
      </w:pPr>
      <w:r>
        <w:t xml:space="preserve">- рост среднемесячной начисленной заработной платы (без выплат социального характера) по полному кругу организаций </w:t>
      </w:r>
      <w:r w:rsidR="002F33D7">
        <w:t>в 2020 году (+</w:t>
      </w:r>
      <w:r w:rsidR="0086006F">
        <w:t>12,7</w:t>
      </w:r>
      <w:r w:rsidR="002F33D7">
        <w:t xml:space="preserve">% к факту 2019 года), </w:t>
      </w:r>
      <w:r>
        <w:t>в 202</w:t>
      </w:r>
      <w:r w:rsidR="004A4346">
        <w:t>1</w:t>
      </w:r>
      <w:r>
        <w:t xml:space="preserve"> году (+</w:t>
      </w:r>
      <w:r w:rsidR="0086006F">
        <w:t>6</w:t>
      </w:r>
      <w:r>
        <w:t>% к оценке 20</w:t>
      </w:r>
      <w:r w:rsidR="004A4346">
        <w:t>20</w:t>
      </w:r>
      <w:r>
        <w:t xml:space="preserve"> года), в 202</w:t>
      </w:r>
      <w:r w:rsidR="004A4346">
        <w:t>2</w:t>
      </w:r>
      <w:r>
        <w:t xml:space="preserve"> году (+</w:t>
      </w:r>
      <w:r w:rsidR="0086006F">
        <w:t>5,8</w:t>
      </w:r>
      <w:r>
        <w:t>% к 202</w:t>
      </w:r>
      <w:r w:rsidR="004A4346">
        <w:t>1</w:t>
      </w:r>
      <w:r w:rsidR="0086006F">
        <w:t xml:space="preserve"> г.)</w:t>
      </w:r>
      <w:r w:rsidR="00C02FBF">
        <w:t>.</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0861C5" w:rsidRDefault="001861EF" w:rsidP="00D65AFF">
      <w:pPr>
        <w:ind w:firstLine="567"/>
        <w:jc w:val="both"/>
        <w:rPr>
          <w:i/>
        </w:rPr>
      </w:pPr>
      <w:r w:rsidRPr="00906E02">
        <w:rPr>
          <w:i/>
        </w:rPr>
        <w:t xml:space="preserve">КСК района отмечает, что показатели </w:t>
      </w:r>
      <w:r w:rsidR="000861C5">
        <w:rPr>
          <w:i/>
        </w:rPr>
        <w:t>П</w:t>
      </w:r>
      <w:r w:rsidRPr="00906E02">
        <w:rPr>
          <w:i/>
        </w:rPr>
        <w:t xml:space="preserve">рогноза </w:t>
      </w:r>
      <w:r w:rsidR="000861C5">
        <w:rPr>
          <w:i/>
        </w:rPr>
        <w:t xml:space="preserve">(по графе «Оценка 2020 года») </w:t>
      </w:r>
      <w:r w:rsidR="003167FC">
        <w:rPr>
          <w:i/>
        </w:rPr>
        <w:t xml:space="preserve">не соответствуют показателям </w:t>
      </w:r>
      <w:r w:rsidR="003167FC" w:rsidRPr="003167FC">
        <w:rPr>
          <w:i/>
        </w:rPr>
        <w:t>Предварительных итогов социально-экономического развития Лукиновского сельского поселения за 9 месяцев 2020 года и ожидаемые итоги за текущий 2020 год</w:t>
      </w:r>
      <w:r w:rsidR="003167FC">
        <w:rPr>
          <w:i/>
        </w:rPr>
        <w:t xml:space="preserve"> (далее – Предварительные итоги):</w:t>
      </w:r>
    </w:p>
    <w:p w:rsidR="003167FC" w:rsidRDefault="003167FC" w:rsidP="00D65AFF">
      <w:pPr>
        <w:ind w:firstLine="567"/>
        <w:jc w:val="both"/>
        <w:rPr>
          <w:i/>
        </w:rPr>
      </w:pPr>
      <w:r>
        <w:rPr>
          <w:i/>
        </w:rPr>
        <w:t>- по показателю «</w:t>
      </w:r>
      <w:r w:rsidRPr="003167FC">
        <w:rPr>
          <w:i/>
        </w:rPr>
        <w:t>Выручк</w:t>
      </w:r>
      <w:r>
        <w:rPr>
          <w:i/>
        </w:rPr>
        <w:t>а</w:t>
      </w:r>
      <w:r w:rsidRPr="003167FC">
        <w:rPr>
          <w:i/>
        </w:rPr>
        <w:t xml:space="preserve"> от реализации продукции (работ, услуг)</w:t>
      </w:r>
      <w:r>
        <w:rPr>
          <w:i/>
        </w:rPr>
        <w:t>» расхождение составило 3,9-0,325=3,575 млн. руб.;</w:t>
      </w:r>
    </w:p>
    <w:p w:rsidR="003167FC" w:rsidRPr="003167FC" w:rsidRDefault="003167FC" w:rsidP="00D65AFF">
      <w:pPr>
        <w:ind w:firstLine="567"/>
        <w:jc w:val="both"/>
        <w:rPr>
          <w:rFonts w:eastAsia="TimesNewRomanPSMT"/>
          <w:i/>
          <w:color w:val="000000"/>
        </w:rPr>
      </w:pPr>
      <w:r>
        <w:rPr>
          <w:i/>
        </w:rPr>
        <w:t>- по показателю «</w:t>
      </w:r>
      <w:r w:rsidRPr="003167FC">
        <w:rPr>
          <w:i/>
        </w:rPr>
        <w:t>Среднемесячная начисленная заработная плата (без выплат соц.характера) по полному кругу организаций</w:t>
      </w:r>
      <w:r>
        <w:rPr>
          <w:i/>
        </w:rPr>
        <w:t>» расхождение составило 1189823,4-28808,5=1161014,9 руб.</w:t>
      </w:r>
    </w:p>
    <w:p w:rsidR="003167FC" w:rsidRDefault="003167FC" w:rsidP="003167FC">
      <w:pPr>
        <w:ind w:firstLine="567"/>
        <w:jc w:val="both"/>
        <w:rPr>
          <w:b/>
          <w:i/>
        </w:rPr>
      </w:pPr>
      <w:r w:rsidRPr="003167FC">
        <w:rPr>
          <w:i/>
        </w:rPr>
        <w:t>Отсутствует показатель «фонд заработной платы по полному кругу организаций» в Прогнозе и Предварительных итогах.</w:t>
      </w:r>
      <w:r w:rsidRPr="005F4025">
        <w:rPr>
          <w:b/>
          <w:i/>
        </w:rPr>
        <w:t xml:space="preserve"> </w:t>
      </w:r>
    </w:p>
    <w:p w:rsidR="003167FC" w:rsidRDefault="003167FC" w:rsidP="003167FC">
      <w:pPr>
        <w:ind w:firstLine="567"/>
        <w:jc w:val="both"/>
      </w:pPr>
      <w:r w:rsidRPr="005F4025">
        <w:t xml:space="preserve">Так, при арифметическом подсчете фонд начисленной заработной платы по оценке 2020 года составит </w:t>
      </w:r>
      <w:r w:rsidR="00E86985">
        <w:rPr>
          <w:b/>
        </w:rPr>
        <w:t>14,8</w:t>
      </w:r>
      <w:r w:rsidRPr="005F4025">
        <w:rPr>
          <w:b/>
        </w:rPr>
        <w:t xml:space="preserve"> </w:t>
      </w:r>
      <w:r>
        <w:rPr>
          <w:b/>
        </w:rPr>
        <w:t>млн</w:t>
      </w:r>
      <w:r w:rsidRPr="005F4025">
        <w:rPr>
          <w:b/>
        </w:rPr>
        <w:t>. руб.</w:t>
      </w:r>
      <w:r w:rsidR="00D64F94">
        <w:rPr>
          <w:b/>
        </w:rPr>
        <w:t xml:space="preserve"> = </w:t>
      </w:r>
      <w:r w:rsidRPr="005F4025">
        <w:t>(</w:t>
      </w:r>
      <w:r w:rsidR="00E86985">
        <w:t>43</w:t>
      </w:r>
      <w:r w:rsidRPr="005F4025">
        <w:t xml:space="preserve"> чел.* </w:t>
      </w:r>
      <w:r w:rsidR="00E86985">
        <w:t xml:space="preserve">28808,5 руб.*12 мес.). </w:t>
      </w:r>
      <w:r w:rsidRPr="0034697E">
        <w:t>Аналогично</w:t>
      </w:r>
      <w:r w:rsidR="00D64F94">
        <w:t>,</w:t>
      </w:r>
      <w:r w:rsidRPr="0034697E">
        <w:t xml:space="preserve"> и на 2021-2023гг., при арифметическом подсчете фонд заработной платы составит на 2021г. </w:t>
      </w:r>
      <w:r>
        <w:t>–</w:t>
      </w:r>
      <w:r w:rsidRPr="0034697E">
        <w:t xml:space="preserve"> </w:t>
      </w:r>
      <w:r w:rsidR="00E86985">
        <w:t xml:space="preserve">15,8 </w:t>
      </w:r>
      <w:r>
        <w:t>млн</w:t>
      </w:r>
      <w:r w:rsidRPr="0034697E">
        <w:t>. руб., на 2022</w:t>
      </w:r>
      <w:r w:rsidR="00E86985">
        <w:t>-2023г</w:t>
      </w:r>
      <w:r w:rsidRPr="0034697E">
        <w:t xml:space="preserve">г. – </w:t>
      </w:r>
      <w:r w:rsidR="00E86985">
        <w:t>16,7</w:t>
      </w:r>
      <w:r w:rsidRPr="0034697E">
        <w:t xml:space="preserve"> </w:t>
      </w:r>
      <w:r>
        <w:t>млн</w:t>
      </w:r>
      <w:r w:rsidR="00E86985">
        <w:t>. руб.</w:t>
      </w:r>
    </w:p>
    <w:p w:rsidR="008E4488" w:rsidRPr="00906E02" w:rsidRDefault="00E85852" w:rsidP="00E85852">
      <w:pPr>
        <w:ind w:firstLine="567"/>
        <w:jc w:val="both"/>
        <w:rPr>
          <w:rFonts w:eastAsia="TimesNewRomanPSMT"/>
          <w:i/>
          <w:color w:val="000000"/>
        </w:rPr>
      </w:pPr>
      <w:r>
        <w:rPr>
          <w:rFonts w:eastAsia="TimesNewRomanPSMT"/>
          <w:i/>
          <w:color w:val="000000"/>
        </w:rPr>
        <w:t xml:space="preserve">КСК района отмечает, что </w:t>
      </w:r>
      <w:r w:rsidR="001861EF" w:rsidRPr="00906E02">
        <w:rPr>
          <w:rFonts w:eastAsia="TimesNewRomanPSMT"/>
          <w:i/>
          <w:color w:val="000000"/>
        </w:rPr>
        <w:t xml:space="preserve">объем налогов, формируемых на территории поселения (доходный потенциал) </w:t>
      </w:r>
      <w:r w:rsidR="00B11D3A">
        <w:rPr>
          <w:rFonts w:eastAsia="TimesNewRomanPSMT"/>
          <w:i/>
          <w:color w:val="000000"/>
        </w:rPr>
        <w:t>не</w:t>
      </w:r>
      <w:r>
        <w:rPr>
          <w:rFonts w:eastAsia="TimesNewRomanPSMT"/>
          <w:i/>
          <w:color w:val="000000"/>
        </w:rPr>
        <w:t xml:space="preserve"> </w:t>
      </w:r>
      <w:r w:rsidR="001861EF" w:rsidRPr="00906E02">
        <w:rPr>
          <w:rFonts w:eastAsia="TimesNewRomanPSMT"/>
          <w:i/>
          <w:color w:val="000000"/>
        </w:rPr>
        <w:t>соответству</w:t>
      </w:r>
      <w:r>
        <w:rPr>
          <w:rFonts w:eastAsia="TimesNewRomanPSMT"/>
          <w:i/>
          <w:color w:val="000000"/>
        </w:rPr>
        <w:t>е</w:t>
      </w:r>
      <w:r w:rsidR="001861EF" w:rsidRPr="00906E02">
        <w:rPr>
          <w:rFonts w:eastAsia="TimesNewRomanPSMT"/>
          <w:i/>
          <w:color w:val="000000"/>
        </w:rPr>
        <w:t>т показателям проекта бюджета на 2021-2023гг., предлагаемым к утверждению</w:t>
      </w:r>
      <w:r>
        <w:rPr>
          <w:rFonts w:eastAsia="TimesNewRomanPSMT"/>
          <w:i/>
          <w:color w:val="000000"/>
        </w:rPr>
        <w:t>, (расхождение составило 2 тыс. руб. по налогу на имущество физ.лиц, в Прогнозе – 5 тыс. руб., в Проекте бюджета – 3 тыс. руб.)</w:t>
      </w:r>
      <w:r w:rsidR="001861EF" w:rsidRPr="00906E02">
        <w:rPr>
          <w:rFonts w:eastAsia="TimesNewRomanPSMT"/>
          <w:i/>
          <w:color w:val="000000"/>
        </w:rPr>
        <w:t xml:space="preserve">. </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674005">
        <w:rPr>
          <w:u w:val="single"/>
        </w:rPr>
        <w:t>Лукиновского</w:t>
      </w:r>
      <w:r w:rsidR="00D61F1F" w:rsidRPr="00702EA9">
        <w:rPr>
          <w:u w:val="single"/>
        </w:rPr>
        <w:t xml:space="preserve"> сельского поселения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674005">
        <w:t>Лукиновского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9D21FF" w:rsidRDefault="00E74FB6" w:rsidP="00E74FB6">
      <w:pPr>
        <w:tabs>
          <w:tab w:val="left" w:pos="709"/>
        </w:tabs>
        <w:ind w:firstLine="709"/>
        <w:jc w:val="both"/>
        <w:rPr>
          <w:i/>
        </w:rPr>
      </w:pPr>
      <w:r w:rsidRPr="009D21FF">
        <w:rPr>
          <w:i/>
        </w:rPr>
        <w:t>Установлены нарушения:</w:t>
      </w:r>
    </w:p>
    <w:p w:rsidR="002734BC" w:rsidRPr="009D21FF" w:rsidRDefault="000F043A" w:rsidP="002734BC">
      <w:pPr>
        <w:pStyle w:val="af2"/>
        <w:ind w:firstLine="709"/>
        <w:jc w:val="both"/>
        <w:rPr>
          <w:rFonts w:ascii="Times New Roman" w:hAnsi="Times New Roman" w:cs="Times New Roman"/>
          <w:i/>
        </w:rPr>
      </w:pPr>
      <w:r w:rsidRPr="009D21FF">
        <w:rPr>
          <w:rFonts w:ascii="Times New Roman" w:hAnsi="Times New Roman" w:cs="Times New Roman"/>
          <w:i/>
        </w:rPr>
        <w:t>1</w:t>
      </w:r>
      <w:r w:rsidR="00E74FB6" w:rsidRPr="009D21FF">
        <w:rPr>
          <w:rFonts w:ascii="Times New Roman" w:hAnsi="Times New Roman" w:cs="Times New Roman"/>
          <w:i/>
        </w:rPr>
        <w:t xml:space="preserve">. </w:t>
      </w:r>
      <w:r w:rsidR="002734BC" w:rsidRPr="009D21FF">
        <w:rPr>
          <w:rFonts w:ascii="Times New Roman" w:hAnsi="Times New Roman" w:cs="Times New Roman"/>
          <w:i/>
        </w:rPr>
        <w:t>В столбце 2 таблицы в наименовании заголовка не верно указан год «2020», следует изменить на «</w:t>
      </w:r>
      <w:r w:rsidR="002734BC" w:rsidRPr="009D21FF">
        <w:rPr>
          <w:rFonts w:ascii="Times New Roman" w:hAnsi="Times New Roman" w:cs="Times New Roman"/>
          <w:b/>
          <w:i/>
        </w:rPr>
        <w:t>2021</w:t>
      </w:r>
      <w:r w:rsidR="002734BC" w:rsidRPr="009D21FF">
        <w:rPr>
          <w:rFonts w:ascii="Times New Roman" w:hAnsi="Times New Roman" w:cs="Times New Roman"/>
          <w:i/>
        </w:rPr>
        <w:t>»;</w:t>
      </w:r>
    </w:p>
    <w:p w:rsidR="0080317B" w:rsidRPr="009D21FF" w:rsidRDefault="00727BC0" w:rsidP="0080317B">
      <w:pPr>
        <w:ind w:firstLine="709"/>
        <w:jc w:val="both"/>
        <w:rPr>
          <w:i/>
        </w:rPr>
      </w:pPr>
      <w:r w:rsidRPr="009D21FF">
        <w:rPr>
          <w:i/>
        </w:rPr>
        <w:t xml:space="preserve">2. </w:t>
      </w:r>
      <w:r w:rsidR="0080317B" w:rsidRPr="009D21FF">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sidRPr="009D21FF">
        <w:rPr>
          <w:i/>
        </w:rPr>
        <w:t xml:space="preserve"> установлены коды доходов</w:t>
      </w:r>
      <w:r w:rsidRPr="009D21FF">
        <w:rPr>
          <w:i/>
        </w:rPr>
        <w:t>, например</w:t>
      </w:r>
      <w:r w:rsidR="0080317B" w:rsidRPr="009D21FF">
        <w:rPr>
          <w:i/>
        </w:rPr>
        <w:t>:</w:t>
      </w:r>
    </w:p>
    <w:p w:rsidR="000562F7" w:rsidRPr="009D21FF" w:rsidRDefault="005A2010" w:rsidP="0080317B">
      <w:pPr>
        <w:ind w:firstLine="709"/>
        <w:jc w:val="both"/>
        <w:rPr>
          <w:i/>
        </w:rPr>
      </w:pPr>
      <w:r w:rsidRPr="009D21FF">
        <w:rPr>
          <w:i/>
        </w:rPr>
        <w:t>-</w:t>
      </w:r>
      <w:r w:rsidR="0080317B" w:rsidRPr="009D21FF">
        <w:rPr>
          <w:i/>
        </w:rPr>
        <w:t xml:space="preserve"> </w:t>
      </w:r>
      <w:r w:rsidR="0006594D" w:rsidRPr="009D21FF">
        <w:rPr>
          <w:i/>
        </w:rPr>
        <w:t>0</w:t>
      </w:r>
      <w:r w:rsidRPr="009D21FF">
        <w:rPr>
          <w:i/>
        </w:rPr>
        <w:t>00</w:t>
      </w:r>
      <w:r w:rsidR="000562F7" w:rsidRPr="009D21FF">
        <w:rPr>
          <w:i/>
        </w:rPr>
        <w:t xml:space="preserve"> 1 </w:t>
      </w:r>
      <w:r w:rsidR="002734BC" w:rsidRPr="009D21FF">
        <w:rPr>
          <w:i/>
        </w:rPr>
        <w:t>13</w:t>
      </w:r>
      <w:r w:rsidR="000562F7" w:rsidRPr="009D21FF">
        <w:rPr>
          <w:i/>
        </w:rPr>
        <w:t xml:space="preserve"> 00000 00 0000 000 «</w:t>
      </w:r>
      <w:r w:rsidR="002734BC" w:rsidRPr="009D21FF">
        <w:rPr>
          <w:i/>
        </w:rPr>
        <w:t>Доходы от оказания платных услуг и компенсации затрат государства</w:t>
      </w:r>
      <w:r w:rsidR="000562F7" w:rsidRPr="009D21FF">
        <w:rPr>
          <w:i/>
        </w:rPr>
        <w:t xml:space="preserve">» </w:t>
      </w:r>
      <w:r w:rsidRPr="009D21FF">
        <w:rPr>
          <w:i/>
        </w:rPr>
        <w:t>(</w:t>
      </w:r>
      <w:r w:rsidR="000562F7" w:rsidRPr="009D21FF">
        <w:rPr>
          <w:i/>
        </w:rPr>
        <w:t>в Реестре источников доходов отражен</w:t>
      </w:r>
      <w:r w:rsidRPr="009D21FF">
        <w:rPr>
          <w:i/>
        </w:rPr>
        <w:t xml:space="preserve"> код </w:t>
      </w:r>
      <w:r w:rsidR="002734BC" w:rsidRPr="009D21FF">
        <w:rPr>
          <w:i/>
        </w:rPr>
        <w:t>910</w:t>
      </w:r>
      <w:r w:rsidRPr="009D21FF">
        <w:rPr>
          <w:i/>
        </w:rPr>
        <w:t xml:space="preserve"> 1 </w:t>
      </w:r>
      <w:r w:rsidR="002734BC" w:rsidRPr="009D21FF">
        <w:rPr>
          <w:i/>
        </w:rPr>
        <w:t>13</w:t>
      </w:r>
      <w:r w:rsidRPr="009D21FF">
        <w:rPr>
          <w:i/>
        </w:rPr>
        <w:t xml:space="preserve"> 02000 </w:t>
      </w:r>
      <w:r w:rsidR="002734BC" w:rsidRPr="009D21FF">
        <w:rPr>
          <w:i/>
        </w:rPr>
        <w:t>00</w:t>
      </w:r>
      <w:r w:rsidRPr="009D21FF">
        <w:rPr>
          <w:i/>
        </w:rPr>
        <w:t xml:space="preserve"> 0000 </w:t>
      </w:r>
      <w:r w:rsidR="002734BC" w:rsidRPr="009D21FF">
        <w:rPr>
          <w:i/>
        </w:rPr>
        <w:t>130 «Доходы от компенсации затрат государства»</w:t>
      </w:r>
      <w:r w:rsidRPr="009D21FF">
        <w:rPr>
          <w:i/>
        </w:rPr>
        <w:t>)</w:t>
      </w:r>
      <w:r w:rsidR="000562F7" w:rsidRPr="009D21FF">
        <w:rPr>
          <w:i/>
        </w:rPr>
        <w:t>;</w:t>
      </w:r>
    </w:p>
    <w:p w:rsidR="00120747" w:rsidRPr="009D21FF" w:rsidRDefault="00120747" w:rsidP="0080317B">
      <w:pPr>
        <w:ind w:firstLine="709"/>
        <w:jc w:val="both"/>
        <w:rPr>
          <w:i/>
        </w:rPr>
      </w:pPr>
      <w:r w:rsidRPr="009D21FF">
        <w:rPr>
          <w:i/>
        </w:rPr>
        <w:t>- отсутствует код дохода «Прочие доходы от оказания платных услуг (работ) получателями средств бюджетов сельских поселений» КБК 910 1 13 01995 10 0000 130;</w:t>
      </w:r>
    </w:p>
    <w:p w:rsidR="002734BC" w:rsidRPr="009D21FF" w:rsidRDefault="00120747" w:rsidP="00175FFF">
      <w:pPr>
        <w:ind w:firstLine="709"/>
        <w:jc w:val="both"/>
        <w:rPr>
          <w:i/>
        </w:rPr>
      </w:pPr>
      <w:r w:rsidRPr="009D21FF">
        <w:rPr>
          <w:i/>
        </w:rPr>
        <w:t>- 910 2 02 15001 10 0000 150 «Дотации бюджетам сельских поселений на выравнивание бюджетной обеспеченности из бюджета субъекта Российской Федерации» (в Реестре источников наименование кода не верное и не верно отражена аналитическая группа подвида доходов бюджетов «151»)</w:t>
      </w:r>
      <w:r w:rsidR="00727BC0" w:rsidRPr="009D21FF">
        <w:rPr>
          <w:i/>
        </w:rPr>
        <w:t>.</w:t>
      </w:r>
    </w:p>
    <w:p w:rsidR="00642283" w:rsidRPr="00642283" w:rsidRDefault="00642283" w:rsidP="00175FFF">
      <w:pPr>
        <w:ind w:firstLine="709"/>
        <w:jc w:val="both"/>
        <w:rPr>
          <w:b/>
          <w:i/>
        </w:rPr>
      </w:pPr>
      <w:r w:rsidRPr="00642283">
        <w:rPr>
          <w:b/>
          <w:i/>
        </w:rPr>
        <w:t>КСК района отмечает, что Реестр источников доходов бюджета Лукиновского сельского поселения на 2021 год и плановый период 2022 и 2023 годов нуждается в доработке практически по каждому коду дохода (не верные КБК, не верные наименования кодов доходов, отсутствуют наименования  или отсутствуют КБК).</w:t>
      </w:r>
    </w:p>
    <w:p w:rsidR="00175FFF" w:rsidRPr="000F043A" w:rsidRDefault="00727BC0" w:rsidP="00642283">
      <w:pPr>
        <w:ind w:firstLine="709"/>
        <w:jc w:val="both"/>
        <w:rPr>
          <w:i/>
        </w:rPr>
      </w:pPr>
      <w:r>
        <w:rPr>
          <w:i/>
        </w:rPr>
        <w:t>3</w:t>
      </w:r>
      <w:r w:rsidR="000F043A">
        <w:rPr>
          <w:i/>
        </w:rPr>
        <w:t xml:space="preserve">. </w:t>
      </w:r>
      <w:r w:rsidR="00D61F1F" w:rsidRPr="002E2D37">
        <w:rPr>
          <w:i/>
          <w:u w:val="single"/>
        </w:rPr>
        <w:t>Норматив зачислений</w:t>
      </w:r>
      <w:r w:rsidR="00D61F1F" w:rsidRPr="000F043A">
        <w:rPr>
          <w:i/>
        </w:rPr>
        <w:t xml:space="preserve"> в местный бюджет </w:t>
      </w:r>
      <w:r w:rsidR="00175FFF" w:rsidRPr="000F043A">
        <w:rPr>
          <w:i/>
        </w:rPr>
        <w:t xml:space="preserve">по акцизам по подакцизным товарам (продукции), производимым на территории Российской Федерации (КБК 000 1 03 02000 01 0000 110) </w:t>
      </w:r>
      <w:r w:rsidR="003029B0" w:rsidRPr="002E2D37">
        <w:rPr>
          <w:i/>
          <w:u w:val="single"/>
        </w:rPr>
        <w:t xml:space="preserve">не </w:t>
      </w:r>
      <w:r w:rsidR="00175FFF" w:rsidRPr="002E2D37">
        <w:rPr>
          <w:i/>
          <w:u w:val="single"/>
        </w:rPr>
        <w:t>установлен</w:t>
      </w:r>
      <w:r w:rsidR="002E2D37">
        <w:rPr>
          <w:i/>
        </w:rPr>
        <w:t xml:space="preserve">, </w:t>
      </w:r>
      <w:r w:rsidR="00175FFF" w:rsidRPr="000F043A">
        <w:rPr>
          <w:i/>
        </w:rPr>
        <w:t xml:space="preserve"> в соответствии </w:t>
      </w:r>
      <w:r w:rsidR="000F043A" w:rsidRPr="000F043A">
        <w:rPr>
          <w:i/>
        </w:rPr>
        <w:t xml:space="preserve">с пунктом 4 статьи 3 </w:t>
      </w:r>
      <w:r w:rsidR="00175FFF" w:rsidRPr="000F043A">
        <w:rPr>
          <w:i/>
        </w:rPr>
        <w:t>проект</w:t>
      </w:r>
      <w:r w:rsidR="000F043A" w:rsidRPr="000F043A">
        <w:rPr>
          <w:i/>
        </w:rPr>
        <w:t>а</w:t>
      </w:r>
      <w:r w:rsidR="00175FFF" w:rsidRPr="000F043A">
        <w:rPr>
          <w:i/>
        </w:rPr>
        <w:t xml:space="preserve"> закона Иркутской области «Об областном бюджете на 2021 год и на плановый период 2022 и 2023 годов» </w:t>
      </w:r>
      <w:r w:rsidR="000F043A" w:rsidRPr="000F043A">
        <w:rPr>
          <w:i/>
        </w:rPr>
        <w:t xml:space="preserve">дифференцированный нормативов отчислений в бюджет </w:t>
      </w:r>
      <w:r w:rsidR="00674005">
        <w:rPr>
          <w:i/>
        </w:rPr>
        <w:t>Лукиновского</w:t>
      </w:r>
      <w:r w:rsidR="000F043A"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0F043A" w:rsidRPr="002E2D37">
        <w:rPr>
          <w:i/>
          <w:u w:val="single"/>
        </w:rPr>
        <w:t>в размере 0,00</w:t>
      </w:r>
      <w:r w:rsidR="002E2D37" w:rsidRPr="002E2D37">
        <w:rPr>
          <w:i/>
          <w:u w:val="single"/>
        </w:rPr>
        <w:t>5</w:t>
      </w:r>
      <w:r w:rsidR="000F043A" w:rsidRPr="002E2D37">
        <w:rPr>
          <w:i/>
          <w:u w:val="single"/>
        </w:rPr>
        <w:t>%</w:t>
      </w:r>
      <w:r w:rsidR="000F043A" w:rsidRPr="000F043A">
        <w:rPr>
          <w:bCs/>
          <w:i/>
        </w:rPr>
        <w:t>.</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674005">
        <w:t>Лукиновского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166A4B">
        <w:t>6285,9</w:t>
      </w:r>
      <w:r w:rsidRPr="00466605">
        <w:t xml:space="preserve"> 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166A4B">
        <w:t>6306,5</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166A4B">
        <w:t>20,6</w:t>
      </w:r>
      <w:r w:rsidRPr="00466605">
        <w:t xml:space="preserve"> тыс. рублей или </w:t>
      </w:r>
      <w:r w:rsidR="005643BB">
        <w:t>3,7</w:t>
      </w:r>
      <w:r w:rsidR="00166A4B">
        <w:t>4</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166A4B">
        <w:t>6013,6</w:t>
      </w:r>
      <w:r w:rsidRPr="00466605">
        <w:t xml:space="preserve"> тыс. рублей, на 202</w:t>
      </w:r>
      <w:r w:rsidR="005643BB">
        <w:t>3</w:t>
      </w:r>
      <w:r w:rsidRPr="00466605">
        <w:t xml:space="preserve"> год в сумме </w:t>
      </w:r>
      <w:r w:rsidR="00166A4B">
        <w:t>5892,6</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166A4B">
        <w:t>6034,9</w:t>
      </w:r>
      <w:r w:rsidRPr="00466605">
        <w:t xml:space="preserve"> тыс. рублей, в том числе условно утвержденные расходы в сумме </w:t>
      </w:r>
      <w:r w:rsidR="00166A4B">
        <w:t>122,9</w:t>
      </w:r>
      <w:r w:rsidRPr="00466605">
        <w:t xml:space="preserve"> тыс.руб., на 202</w:t>
      </w:r>
      <w:r w:rsidR="005643BB">
        <w:t>3</w:t>
      </w:r>
      <w:r w:rsidRPr="00466605">
        <w:t xml:space="preserve"> год в сумме </w:t>
      </w:r>
      <w:r w:rsidR="00166A4B">
        <w:t>5914,9</w:t>
      </w:r>
      <w:r w:rsidRPr="00466605">
        <w:t xml:space="preserve"> тыс. рублей, в том числе условно утвержденные расходы в сумме </w:t>
      </w:r>
      <w:r w:rsidR="00166A4B">
        <w:t>242,6</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166A4B">
        <w:t>21,3</w:t>
      </w:r>
      <w:r w:rsidRPr="00466605">
        <w:t xml:space="preserve"> тыс. рублей или </w:t>
      </w:r>
      <w:r w:rsidR="005643BB">
        <w:t>3,</w:t>
      </w:r>
      <w:r w:rsidRPr="00466605">
        <w:t>7</w:t>
      </w:r>
      <w:r w:rsidR="00166A4B">
        <w:t>3</w:t>
      </w:r>
      <w:r w:rsidRPr="00466605">
        <w:t>%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166A4B">
        <w:t>22,3</w:t>
      </w:r>
      <w:r w:rsidRPr="00466605">
        <w:t xml:space="preserve"> тыс. рублей или </w:t>
      </w:r>
      <w:r w:rsidR="005643BB">
        <w:t>3,</w:t>
      </w:r>
      <w:r w:rsidRPr="00466605">
        <w:t>7</w:t>
      </w:r>
      <w:r w:rsidR="00166A4B">
        <w:t>5</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166A4B">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674005" w:rsidP="0044286D">
      <w:pPr>
        <w:widowControl w:val="0"/>
        <w:numPr>
          <w:ilvl w:val="12"/>
          <w:numId w:val="0"/>
        </w:numPr>
        <w:ind w:firstLine="720"/>
        <w:jc w:val="center"/>
      </w:pPr>
      <w:r>
        <w:t>Лукиновского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2B5C8C">
        <w:rPr>
          <w:b w:val="0"/>
          <w:bCs w:val="0"/>
          <w:i w:val="0"/>
          <w:color w:val="000000"/>
          <w:spacing w:val="3"/>
          <w:sz w:val="24"/>
        </w:rPr>
        <w:t>6285,9</w:t>
      </w:r>
      <w:r>
        <w:rPr>
          <w:b w:val="0"/>
          <w:bCs w:val="0"/>
          <w:i w:val="0"/>
          <w:color w:val="000000"/>
          <w:spacing w:val="3"/>
          <w:sz w:val="24"/>
        </w:rPr>
        <w:t xml:space="preserve"> 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2B5C8C">
        <w:rPr>
          <w:b w:val="0"/>
          <w:i w:val="0"/>
          <w:sz w:val="24"/>
        </w:rPr>
        <w:t>551,4</w:t>
      </w:r>
      <w:r w:rsidRPr="003A09E3">
        <w:rPr>
          <w:b w:val="0"/>
          <w:i w:val="0"/>
          <w:sz w:val="24"/>
        </w:rPr>
        <w:t xml:space="preserve"> тыс. рублей, или </w:t>
      </w:r>
      <w:r w:rsidR="002B5C8C">
        <w:rPr>
          <w:b w:val="0"/>
          <w:i w:val="0"/>
          <w:sz w:val="24"/>
        </w:rPr>
        <w:t>8,8</w:t>
      </w:r>
      <w:r w:rsidRPr="003A09E3">
        <w:rPr>
          <w:b w:val="0"/>
          <w:i w:val="0"/>
          <w:sz w:val="24"/>
        </w:rPr>
        <w:t xml:space="preserve">% объема доходов местного бюджета, безвозмездные поступления – </w:t>
      </w:r>
      <w:r w:rsidR="002B5C8C">
        <w:rPr>
          <w:b w:val="0"/>
          <w:i w:val="0"/>
          <w:sz w:val="24"/>
        </w:rPr>
        <w:t>5734,5</w:t>
      </w:r>
      <w:r w:rsidRPr="003A09E3">
        <w:rPr>
          <w:b w:val="0"/>
          <w:i w:val="0"/>
          <w:sz w:val="24"/>
        </w:rPr>
        <w:t xml:space="preserve"> тыс. рублей (или </w:t>
      </w:r>
      <w:r w:rsidR="002B5C8C">
        <w:rPr>
          <w:b w:val="0"/>
          <w:i w:val="0"/>
          <w:sz w:val="24"/>
        </w:rPr>
        <w:t>91,2</w:t>
      </w:r>
      <w:r w:rsidRPr="003A09E3">
        <w:rPr>
          <w:b w:val="0"/>
          <w:i w:val="0"/>
          <w:sz w:val="24"/>
        </w:rPr>
        <w:t>%),</w:t>
      </w:r>
      <w:r>
        <w:t xml:space="preserve"> </w:t>
      </w:r>
      <w:r>
        <w:rPr>
          <w:b w:val="0"/>
          <w:bCs w:val="0"/>
          <w:i w:val="0"/>
          <w:color w:val="000000"/>
          <w:spacing w:val="3"/>
          <w:sz w:val="24"/>
        </w:rPr>
        <w:t xml:space="preserve">со снижением к уровню 2020 года на сумму </w:t>
      </w:r>
      <w:r w:rsidR="002B5C8C">
        <w:rPr>
          <w:b w:val="0"/>
          <w:bCs w:val="0"/>
          <w:i w:val="0"/>
          <w:color w:val="000000"/>
          <w:spacing w:val="3"/>
          <w:sz w:val="24"/>
        </w:rPr>
        <w:t>638,4</w:t>
      </w:r>
      <w:r>
        <w:rPr>
          <w:b w:val="0"/>
          <w:bCs w:val="0"/>
          <w:i w:val="0"/>
          <w:color w:val="000000"/>
          <w:spacing w:val="3"/>
          <w:sz w:val="24"/>
        </w:rPr>
        <w:t xml:space="preserve"> тыс. руб. (-</w:t>
      </w:r>
      <w:r w:rsidR="002B5C8C">
        <w:rPr>
          <w:b w:val="0"/>
          <w:bCs w:val="0"/>
          <w:i w:val="0"/>
          <w:color w:val="000000"/>
          <w:spacing w:val="3"/>
          <w:sz w:val="24"/>
        </w:rPr>
        <w:t>9,2</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2B5C8C">
        <w:rPr>
          <w:b w:val="0"/>
          <w:i w:val="0"/>
          <w:color w:val="000000"/>
          <w:spacing w:val="3"/>
          <w:sz w:val="24"/>
        </w:rPr>
        <w:t>6013,6</w:t>
      </w:r>
      <w:r>
        <w:rPr>
          <w:b w:val="0"/>
          <w:i w:val="0"/>
          <w:color w:val="000000"/>
          <w:spacing w:val="3"/>
          <w:sz w:val="24"/>
        </w:rPr>
        <w:t xml:space="preserve"> тыс. руб., со снижением к 2021г. на </w:t>
      </w:r>
      <w:r w:rsidR="002B5C8C">
        <w:rPr>
          <w:b w:val="0"/>
          <w:i w:val="0"/>
          <w:color w:val="000000"/>
          <w:spacing w:val="3"/>
          <w:sz w:val="24"/>
        </w:rPr>
        <w:t>272,3</w:t>
      </w:r>
      <w:r>
        <w:rPr>
          <w:b w:val="0"/>
          <w:i w:val="0"/>
          <w:color w:val="000000"/>
          <w:spacing w:val="3"/>
          <w:sz w:val="24"/>
        </w:rPr>
        <w:t xml:space="preserve"> тыс. руб. (-</w:t>
      </w:r>
      <w:r w:rsidR="002B5C8C">
        <w:rPr>
          <w:b w:val="0"/>
          <w:i w:val="0"/>
          <w:color w:val="000000"/>
          <w:spacing w:val="3"/>
          <w:sz w:val="24"/>
        </w:rPr>
        <w:t>4,3</w:t>
      </w:r>
      <w:r>
        <w:rPr>
          <w:b w:val="0"/>
          <w:i w:val="0"/>
          <w:color w:val="000000"/>
          <w:spacing w:val="3"/>
          <w:sz w:val="24"/>
        </w:rPr>
        <w:t xml:space="preserve">%), на 2023 год в сумме </w:t>
      </w:r>
      <w:r w:rsidR="002B5C8C">
        <w:rPr>
          <w:b w:val="0"/>
          <w:i w:val="0"/>
          <w:color w:val="000000"/>
          <w:spacing w:val="3"/>
          <w:sz w:val="24"/>
        </w:rPr>
        <w:t>5892,6</w:t>
      </w:r>
      <w:r>
        <w:rPr>
          <w:b w:val="0"/>
          <w:i w:val="0"/>
          <w:color w:val="000000"/>
          <w:spacing w:val="3"/>
          <w:sz w:val="24"/>
        </w:rPr>
        <w:t xml:space="preserve"> тыс. руб., со снижением к 2022г. на </w:t>
      </w:r>
      <w:r w:rsidR="002B5C8C">
        <w:rPr>
          <w:b w:val="0"/>
          <w:i w:val="0"/>
          <w:color w:val="000000"/>
          <w:spacing w:val="3"/>
          <w:sz w:val="24"/>
        </w:rPr>
        <w:t>121</w:t>
      </w:r>
      <w:r>
        <w:rPr>
          <w:b w:val="0"/>
          <w:i w:val="0"/>
          <w:color w:val="000000"/>
          <w:spacing w:val="3"/>
          <w:sz w:val="24"/>
        </w:rPr>
        <w:t xml:space="preserve"> тыс. руб. (-</w:t>
      </w:r>
      <w:r w:rsidR="002B5C8C">
        <w:rPr>
          <w:b w:val="0"/>
          <w:i w:val="0"/>
          <w:color w:val="000000"/>
          <w:spacing w:val="3"/>
          <w:sz w:val="24"/>
        </w:rPr>
        <w:t>2</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w:t>
      </w:r>
      <w:r w:rsidR="002B5C8C">
        <w:rPr>
          <w:b w:val="0"/>
          <w:i w:val="0"/>
          <w:color w:val="000000"/>
          <w:spacing w:val="3"/>
          <w:sz w:val="24"/>
        </w:rPr>
        <w:t xml:space="preserve">налоговых и неналоговых доходов и </w:t>
      </w:r>
      <w:r w:rsidRPr="0034491A">
        <w:rPr>
          <w:b w:val="0"/>
          <w:i w:val="0"/>
          <w:color w:val="000000"/>
          <w:spacing w:val="3"/>
          <w:sz w:val="24"/>
        </w:rPr>
        <w:t>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2B5C8C"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2B5C8C" w:rsidRPr="00466605" w:rsidTr="002B5C8C">
        <w:tc>
          <w:tcPr>
            <w:tcW w:w="3652" w:type="dxa"/>
          </w:tcPr>
          <w:p w:rsidR="002B5C8C" w:rsidRPr="001F1DA0" w:rsidRDefault="002B5C8C"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2B5C8C" w:rsidRPr="001F1DA0" w:rsidRDefault="002B5C8C" w:rsidP="0031390C">
            <w:pPr>
              <w:widowControl w:val="0"/>
              <w:numPr>
                <w:ilvl w:val="12"/>
                <w:numId w:val="0"/>
              </w:numPr>
              <w:jc w:val="center"/>
              <w:rPr>
                <w:b/>
                <w:sz w:val="20"/>
                <w:szCs w:val="20"/>
              </w:rPr>
            </w:pPr>
            <w:r>
              <w:rPr>
                <w:b/>
                <w:sz w:val="20"/>
                <w:szCs w:val="20"/>
              </w:rPr>
              <w:t>6924,3</w:t>
            </w:r>
          </w:p>
        </w:tc>
        <w:tc>
          <w:tcPr>
            <w:tcW w:w="992" w:type="dxa"/>
            <w:vAlign w:val="center"/>
          </w:tcPr>
          <w:p w:rsidR="002B5C8C" w:rsidRPr="001F1DA0" w:rsidRDefault="002B5C8C" w:rsidP="0031390C">
            <w:pPr>
              <w:widowControl w:val="0"/>
              <w:numPr>
                <w:ilvl w:val="12"/>
                <w:numId w:val="0"/>
              </w:numPr>
              <w:jc w:val="center"/>
              <w:rPr>
                <w:b/>
                <w:sz w:val="20"/>
                <w:szCs w:val="20"/>
              </w:rPr>
            </w:pPr>
            <w:r>
              <w:rPr>
                <w:b/>
                <w:sz w:val="20"/>
                <w:szCs w:val="20"/>
              </w:rPr>
              <w:t>6285,9</w:t>
            </w:r>
          </w:p>
        </w:tc>
        <w:tc>
          <w:tcPr>
            <w:tcW w:w="992" w:type="dxa"/>
            <w:vAlign w:val="center"/>
          </w:tcPr>
          <w:p w:rsidR="002B5C8C" w:rsidRPr="002B5C8C" w:rsidRDefault="002B5C8C" w:rsidP="002B5C8C">
            <w:pPr>
              <w:jc w:val="center"/>
              <w:rPr>
                <w:b/>
                <w:sz w:val="20"/>
                <w:szCs w:val="20"/>
              </w:rPr>
            </w:pPr>
            <w:r w:rsidRPr="002B5C8C">
              <w:rPr>
                <w:b/>
                <w:sz w:val="20"/>
                <w:szCs w:val="20"/>
              </w:rPr>
              <w:t>-638,4</w:t>
            </w:r>
          </w:p>
        </w:tc>
        <w:tc>
          <w:tcPr>
            <w:tcW w:w="992" w:type="dxa"/>
            <w:vAlign w:val="center"/>
          </w:tcPr>
          <w:p w:rsidR="002B5C8C" w:rsidRPr="002B5C8C" w:rsidRDefault="002B5C8C" w:rsidP="002B5C8C">
            <w:pPr>
              <w:jc w:val="center"/>
              <w:rPr>
                <w:b/>
                <w:sz w:val="20"/>
                <w:szCs w:val="20"/>
              </w:rPr>
            </w:pPr>
            <w:r w:rsidRPr="002B5C8C">
              <w:rPr>
                <w:b/>
                <w:sz w:val="20"/>
                <w:szCs w:val="20"/>
              </w:rPr>
              <w:t>90,8</w:t>
            </w:r>
          </w:p>
        </w:tc>
        <w:tc>
          <w:tcPr>
            <w:tcW w:w="992" w:type="dxa"/>
            <w:vAlign w:val="center"/>
          </w:tcPr>
          <w:p w:rsidR="002B5C8C" w:rsidRPr="001F1DA0" w:rsidRDefault="002B5C8C" w:rsidP="003831EF">
            <w:pPr>
              <w:tabs>
                <w:tab w:val="left" w:pos="9923"/>
              </w:tabs>
              <w:ind w:right="-3"/>
              <w:jc w:val="center"/>
              <w:rPr>
                <w:b/>
                <w:sz w:val="20"/>
                <w:szCs w:val="20"/>
              </w:rPr>
            </w:pPr>
            <w:r>
              <w:rPr>
                <w:b/>
                <w:sz w:val="20"/>
                <w:szCs w:val="20"/>
              </w:rPr>
              <w:t>6013,6</w:t>
            </w:r>
          </w:p>
        </w:tc>
        <w:tc>
          <w:tcPr>
            <w:tcW w:w="992" w:type="dxa"/>
            <w:vAlign w:val="center"/>
          </w:tcPr>
          <w:p w:rsidR="002B5C8C" w:rsidRPr="001F1DA0" w:rsidRDefault="002B5C8C" w:rsidP="003831EF">
            <w:pPr>
              <w:jc w:val="center"/>
              <w:rPr>
                <w:b/>
                <w:sz w:val="20"/>
                <w:szCs w:val="20"/>
              </w:rPr>
            </w:pPr>
            <w:r>
              <w:rPr>
                <w:b/>
                <w:sz w:val="20"/>
                <w:szCs w:val="20"/>
              </w:rPr>
              <w:t>5892,6</w:t>
            </w:r>
          </w:p>
        </w:tc>
      </w:tr>
      <w:tr w:rsidR="002B5C8C" w:rsidRPr="00466605" w:rsidTr="002B5C8C">
        <w:tc>
          <w:tcPr>
            <w:tcW w:w="3652" w:type="dxa"/>
          </w:tcPr>
          <w:p w:rsidR="002B5C8C" w:rsidRPr="003831EF" w:rsidRDefault="002B5C8C" w:rsidP="0031390C">
            <w:pPr>
              <w:widowControl w:val="0"/>
              <w:numPr>
                <w:ilvl w:val="12"/>
                <w:numId w:val="0"/>
              </w:numPr>
              <w:rPr>
                <w:sz w:val="18"/>
                <w:szCs w:val="18"/>
              </w:rPr>
            </w:pPr>
            <w:r w:rsidRPr="003831EF">
              <w:rPr>
                <w:sz w:val="18"/>
                <w:szCs w:val="18"/>
              </w:rPr>
              <w:t>Налоговые и неналоговые доходы, в т.ч.:</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655,5</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551,4</w:t>
            </w:r>
          </w:p>
        </w:tc>
        <w:tc>
          <w:tcPr>
            <w:tcW w:w="992" w:type="dxa"/>
            <w:vAlign w:val="center"/>
          </w:tcPr>
          <w:p w:rsidR="002B5C8C" w:rsidRPr="002B5C8C" w:rsidRDefault="002B5C8C" w:rsidP="002B5C8C">
            <w:pPr>
              <w:jc w:val="center"/>
              <w:rPr>
                <w:sz w:val="20"/>
                <w:szCs w:val="20"/>
              </w:rPr>
            </w:pPr>
            <w:r w:rsidRPr="002B5C8C">
              <w:rPr>
                <w:sz w:val="20"/>
                <w:szCs w:val="20"/>
              </w:rPr>
              <w:t>-104,1</w:t>
            </w:r>
          </w:p>
        </w:tc>
        <w:tc>
          <w:tcPr>
            <w:tcW w:w="992" w:type="dxa"/>
            <w:vAlign w:val="center"/>
          </w:tcPr>
          <w:p w:rsidR="002B5C8C" w:rsidRPr="002B5C8C" w:rsidRDefault="002B5C8C" w:rsidP="002B5C8C">
            <w:pPr>
              <w:jc w:val="center"/>
              <w:rPr>
                <w:sz w:val="20"/>
                <w:szCs w:val="20"/>
              </w:rPr>
            </w:pPr>
            <w:r w:rsidRPr="002B5C8C">
              <w:rPr>
                <w:sz w:val="20"/>
                <w:szCs w:val="20"/>
              </w:rPr>
              <w:t>84,1</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570,5</w:t>
            </w:r>
          </w:p>
        </w:tc>
        <w:tc>
          <w:tcPr>
            <w:tcW w:w="992" w:type="dxa"/>
            <w:vAlign w:val="center"/>
          </w:tcPr>
          <w:p w:rsidR="002B5C8C" w:rsidRPr="003831EF" w:rsidRDefault="002B5C8C" w:rsidP="003831EF">
            <w:pPr>
              <w:jc w:val="center"/>
              <w:rPr>
                <w:sz w:val="20"/>
                <w:szCs w:val="20"/>
              </w:rPr>
            </w:pPr>
            <w:r>
              <w:rPr>
                <w:sz w:val="20"/>
                <w:szCs w:val="20"/>
              </w:rPr>
              <w:t>595,4</w:t>
            </w:r>
          </w:p>
        </w:tc>
      </w:tr>
      <w:tr w:rsidR="002B5C8C" w:rsidRPr="00466605" w:rsidTr="002B5C8C">
        <w:tc>
          <w:tcPr>
            <w:tcW w:w="3652" w:type="dxa"/>
          </w:tcPr>
          <w:p w:rsidR="002B5C8C" w:rsidRPr="003831EF" w:rsidRDefault="002B5C8C"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621,2</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542,7</w:t>
            </w:r>
          </w:p>
        </w:tc>
        <w:tc>
          <w:tcPr>
            <w:tcW w:w="992" w:type="dxa"/>
            <w:vAlign w:val="center"/>
          </w:tcPr>
          <w:p w:rsidR="002B5C8C" w:rsidRPr="002B5C8C" w:rsidRDefault="002B5C8C" w:rsidP="002B5C8C">
            <w:pPr>
              <w:jc w:val="center"/>
              <w:rPr>
                <w:sz w:val="20"/>
                <w:szCs w:val="20"/>
              </w:rPr>
            </w:pPr>
            <w:r w:rsidRPr="002B5C8C">
              <w:rPr>
                <w:sz w:val="20"/>
                <w:szCs w:val="20"/>
              </w:rPr>
              <w:t>-78,5</w:t>
            </w:r>
          </w:p>
        </w:tc>
        <w:tc>
          <w:tcPr>
            <w:tcW w:w="992" w:type="dxa"/>
            <w:vAlign w:val="center"/>
          </w:tcPr>
          <w:p w:rsidR="002B5C8C" w:rsidRPr="002B5C8C" w:rsidRDefault="002B5C8C" w:rsidP="002B5C8C">
            <w:pPr>
              <w:jc w:val="center"/>
              <w:rPr>
                <w:sz w:val="20"/>
                <w:szCs w:val="20"/>
              </w:rPr>
            </w:pPr>
            <w:r w:rsidRPr="002B5C8C">
              <w:rPr>
                <w:sz w:val="20"/>
                <w:szCs w:val="20"/>
              </w:rPr>
              <w:t>87,4</w:t>
            </w:r>
          </w:p>
        </w:tc>
        <w:tc>
          <w:tcPr>
            <w:tcW w:w="992" w:type="dxa"/>
            <w:vAlign w:val="center"/>
          </w:tcPr>
          <w:p w:rsidR="002B5C8C" w:rsidRPr="003831EF" w:rsidRDefault="002B5C8C" w:rsidP="00A05BA4">
            <w:pPr>
              <w:tabs>
                <w:tab w:val="left" w:pos="9923"/>
              </w:tabs>
              <w:ind w:right="-3"/>
              <w:jc w:val="center"/>
              <w:rPr>
                <w:sz w:val="20"/>
                <w:szCs w:val="20"/>
              </w:rPr>
            </w:pPr>
            <w:r>
              <w:rPr>
                <w:sz w:val="20"/>
                <w:szCs w:val="20"/>
              </w:rPr>
              <w:t>561,8</w:t>
            </w:r>
          </w:p>
        </w:tc>
        <w:tc>
          <w:tcPr>
            <w:tcW w:w="992" w:type="dxa"/>
            <w:vAlign w:val="center"/>
          </w:tcPr>
          <w:p w:rsidR="002B5C8C" w:rsidRPr="003831EF" w:rsidRDefault="002B5C8C" w:rsidP="00A05BA4">
            <w:pPr>
              <w:jc w:val="center"/>
              <w:rPr>
                <w:sz w:val="20"/>
                <w:szCs w:val="20"/>
              </w:rPr>
            </w:pPr>
            <w:r>
              <w:rPr>
                <w:sz w:val="20"/>
                <w:szCs w:val="20"/>
              </w:rPr>
              <w:t>586,7</w:t>
            </w:r>
          </w:p>
        </w:tc>
      </w:tr>
      <w:tr w:rsidR="002B5C8C" w:rsidRPr="00466605" w:rsidTr="002B5C8C">
        <w:tc>
          <w:tcPr>
            <w:tcW w:w="3652" w:type="dxa"/>
            <w:vAlign w:val="center"/>
          </w:tcPr>
          <w:p w:rsidR="002B5C8C" w:rsidRPr="003831EF" w:rsidRDefault="002B5C8C" w:rsidP="0031390C">
            <w:pPr>
              <w:snapToGrid w:val="0"/>
              <w:rPr>
                <w:sz w:val="18"/>
                <w:szCs w:val="18"/>
              </w:rPr>
            </w:pPr>
            <w:r w:rsidRPr="003831EF">
              <w:rPr>
                <w:sz w:val="18"/>
                <w:szCs w:val="18"/>
              </w:rPr>
              <w:t>Налог на доходы физических лиц</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107</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109</w:t>
            </w:r>
          </w:p>
        </w:tc>
        <w:tc>
          <w:tcPr>
            <w:tcW w:w="992" w:type="dxa"/>
            <w:vAlign w:val="center"/>
          </w:tcPr>
          <w:p w:rsidR="002B5C8C" w:rsidRPr="002B5C8C" w:rsidRDefault="002B5C8C" w:rsidP="002B5C8C">
            <w:pPr>
              <w:jc w:val="center"/>
              <w:rPr>
                <w:sz w:val="20"/>
                <w:szCs w:val="20"/>
              </w:rPr>
            </w:pPr>
            <w:r w:rsidRPr="002B5C8C">
              <w:rPr>
                <w:sz w:val="20"/>
                <w:szCs w:val="20"/>
              </w:rPr>
              <w:t>2</w:t>
            </w:r>
          </w:p>
        </w:tc>
        <w:tc>
          <w:tcPr>
            <w:tcW w:w="992" w:type="dxa"/>
            <w:vAlign w:val="center"/>
          </w:tcPr>
          <w:p w:rsidR="002B5C8C" w:rsidRPr="002B5C8C" w:rsidRDefault="002B5C8C" w:rsidP="002B5C8C">
            <w:pPr>
              <w:jc w:val="center"/>
              <w:rPr>
                <w:sz w:val="20"/>
                <w:szCs w:val="20"/>
              </w:rPr>
            </w:pPr>
            <w:r w:rsidRPr="002B5C8C">
              <w:rPr>
                <w:sz w:val="20"/>
                <w:szCs w:val="20"/>
              </w:rPr>
              <w:t>101,9</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113</w:t>
            </w:r>
          </w:p>
        </w:tc>
        <w:tc>
          <w:tcPr>
            <w:tcW w:w="992" w:type="dxa"/>
            <w:vAlign w:val="center"/>
          </w:tcPr>
          <w:p w:rsidR="002B5C8C" w:rsidRPr="003831EF" w:rsidRDefault="002B5C8C" w:rsidP="003831EF">
            <w:pPr>
              <w:jc w:val="center"/>
              <w:rPr>
                <w:sz w:val="20"/>
                <w:szCs w:val="20"/>
              </w:rPr>
            </w:pPr>
            <w:r>
              <w:rPr>
                <w:sz w:val="20"/>
                <w:szCs w:val="20"/>
              </w:rPr>
              <w:t>113</w:t>
            </w:r>
          </w:p>
        </w:tc>
      </w:tr>
      <w:tr w:rsidR="002B5C8C" w:rsidRPr="00466605" w:rsidTr="002B5C8C">
        <w:tc>
          <w:tcPr>
            <w:tcW w:w="3652" w:type="dxa"/>
            <w:vAlign w:val="center"/>
          </w:tcPr>
          <w:p w:rsidR="002B5C8C" w:rsidRPr="003831EF" w:rsidRDefault="002B5C8C"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449,2</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370,7</w:t>
            </w:r>
          </w:p>
        </w:tc>
        <w:tc>
          <w:tcPr>
            <w:tcW w:w="992" w:type="dxa"/>
            <w:vAlign w:val="center"/>
          </w:tcPr>
          <w:p w:rsidR="002B5C8C" w:rsidRPr="002B5C8C" w:rsidRDefault="002B5C8C" w:rsidP="002B5C8C">
            <w:pPr>
              <w:jc w:val="center"/>
              <w:rPr>
                <w:sz w:val="20"/>
                <w:szCs w:val="20"/>
              </w:rPr>
            </w:pPr>
            <w:r w:rsidRPr="002B5C8C">
              <w:rPr>
                <w:sz w:val="20"/>
                <w:szCs w:val="20"/>
              </w:rPr>
              <w:t>-78,5</w:t>
            </w:r>
          </w:p>
        </w:tc>
        <w:tc>
          <w:tcPr>
            <w:tcW w:w="992" w:type="dxa"/>
            <w:vAlign w:val="center"/>
          </w:tcPr>
          <w:p w:rsidR="002B5C8C" w:rsidRPr="002B5C8C" w:rsidRDefault="002B5C8C" w:rsidP="002B5C8C">
            <w:pPr>
              <w:jc w:val="center"/>
              <w:rPr>
                <w:sz w:val="20"/>
                <w:szCs w:val="20"/>
              </w:rPr>
            </w:pPr>
            <w:r w:rsidRPr="002B5C8C">
              <w:rPr>
                <w:sz w:val="20"/>
                <w:szCs w:val="20"/>
              </w:rPr>
              <w:t>82,5</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385,8</w:t>
            </w:r>
          </w:p>
        </w:tc>
        <w:tc>
          <w:tcPr>
            <w:tcW w:w="992" w:type="dxa"/>
            <w:vAlign w:val="center"/>
          </w:tcPr>
          <w:p w:rsidR="002B5C8C" w:rsidRPr="003831EF" w:rsidRDefault="002B5C8C" w:rsidP="003831EF">
            <w:pPr>
              <w:jc w:val="center"/>
              <w:rPr>
                <w:sz w:val="20"/>
                <w:szCs w:val="20"/>
              </w:rPr>
            </w:pPr>
            <w:r>
              <w:rPr>
                <w:sz w:val="20"/>
                <w:szCs w:val="20"/>
              </w:rPr>
              <w:t>410,7</w:t>
            </w:r>
          </w:p>
        </w:tc>
      </w:tr>
      <w:tr w:rsidR="002B5C8C" w:rsidRPr="00466605" w:rsidTr="002B5C8C">
        <w:tc>
          <w:tcPr>
            <w:tcW w:w="3652" w:type="dxa"/>
            <w:vAlign w:val="center"/>
          </w:tcPr>
          <w:p w:rsidR="002B5C8C" w:rsidRPr="003831EF" w:rsidRDefault="002B5C8C" w:rsidP="0031390C">
            <w:pPr>
              <w:snapToGrid w:val="0"/>
              <w:rPr>
                <w:sz w:val="18"/>
                <w:szCs w:val="18"/>
              </w:rPr>
            </w:pPr>
            <w:r w:rsidRPr="003831EF">
              <w:rPr>
                <w:sz w:val="18"/>
                <w:szCs w:val="18"/>
              </w:rPr>
              <w:t>Налоги на имущество, в т.ч.:</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65</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63</w:t>
            </w:r>
          </w:p>
        </w:tc>
        <w:tc>
          <w:tcPr>
            <w:tcW w:w="992" w:type="dxa"/>
            <w:vAlign w:val="center"/>
          </w:tcPr>
          <w:p w:rsidR="002B5C8C" w:rsidRPr="002B5C8C" w:rsidRDefault="002B5C8C" w:rsidP="002B5C8C">
            <w:pPr>
              <w:jc w:val="center"/>
              <w:rPr>
                <w:sz w:val="20"/>
                <w:szCs w:val="20"/>
              </w:rPr>
            </w:pPr>
            <w:r w:rsidRPr="002B5C8C">
              <w:rPr>
                <w:sz w:val="20"/>
                <w:szCs w:val="20"/>
              </w:rPr>
              <w:t>-2</w:t>
            </w:r>
          </w:p>
        </w:tc>
        <w:tc>
          <w:tcPr>
            <w:tcW w:w="992" w:type="dxa"/>
            <w:vAlign w:val="center"/>
          </w:tcPr>
          <w:p w:rsidR="002B5C8C" w:rsidRPr="002B5C8C" w:rsidRDefault="002B5C8C" w:rsidP="002B5C8C">
            <w:pPr>
              <w:jc w:val="center"/>
              <w:rPr>
                <w:sz w:val="20"/>
                <w:szCs w:val="20"/>
              </w:rPr>
            </w:pPr>
            <w:r>
              <w:rPr>
                <w:sz w:val="20"/>
                <w:szCs w:val="20"/>
              </w:rPr>
              <w:t>96,9</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63</w:t>
            </w:r>
          </w:p>
        </w:tc>
        <w:tc>
          <w:tcPr>
            <w:tcW w:w="992" w:type="dxa"/>
            <w:vAlign w:val="center"/>
          </w:tcPr>
          <w:p w:rsidR="002B5C8C" w:rsidRPr="003831EF" w:rsidRDefault="002B5C8C" w:rsidP="003831EF">
            <w:pPr>
              <w:jc w:val="center"/>
              <w:rPr>
                <w:sz w:val="20"/>
                <w:szCs w:val="20"/>
              </w:rPr>
            </w:pPr>
            <w:r>
              <w:rPr>
                <w:sz w:val="20"/>
                <w:szCs w:val="20"/>
              </w:rPr>
              <w:t>63</w:t>
            </w:r>
          </w:p>
        </w:tc>
      </w:tr>
      <w:tr w:rsidR="002B5C8C" w:rsidRPr="00466605" w:rsidTr="002B5C8C">
        <w:tc>
          <w:tcPr>
            <w:tcW w:w="3652" w:type="dxa"/>
          </w:tcPr>
          <w:p w:rsidR="002B5C8C" w:rsidRPr="003831EF" w:rsidRDefault="002B5C8C"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5</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w:t>
            </w:r>
          </w:p>
        </w:tc>
        <w:tc>
          <w:tcPr>
            <w:tcW w:w="992" w:type="dxa"/>
            <w:vAlign w:val="center"/>
          </w:tcPr>
          <w:p w:rsidR="002B5C8C" w:rsidRPr="002B5C8C" w:rsidRDefault="002B5C8C" w:rsidP="002B5C8C">
            <w:pPr>
              <w:jc w:val="center"/>
              <w:rPr>
                <w:sz w:val="20"/>
                <w:szCs w:val="20"/>
              </w:rPr>
            </w:pPr>
            <w:r w:rsidRPr="002B5C8C">
              <w:rPr>
                <w:sz w:val="20"/>
                <w:szCs w:val="20"/>
              </w:rPr>
              <w:t>-2</w:t>
            </w:r>
          </w:p>
        </w:tc>
        <w:tc>
          <w:tcPr>
            <w:tcW w:w="992" w:type="dxa"/>
            <w:vAlign w:val="center"/>
          </w:tcPr>
          <w:p w:rsidR="002B5C8C" w:rsidRPr="002B5C8C" w:rsidRDefault="002B5C8C" w:rsidP="002B5C8C">
            <w:pPr>
              <w:jc w:val="center"/>
              <w:rPr>
                <w:sz w:val="20"/>
                <w:szCs w:val="20"/>
              </w:rPr>
            </w:pPr>
            <w:r w:rsidRPr="002B5C8C">
              <w:rPr>
                <w:sz w:val="20"/>
                <w:szCs w:val="20"/>
              </w:rPr>
              <w:t>60</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3</w:t>
            </w:r>
          </w:p>
        </w:tc>
        <w:tc>
          <w:tcPr>
            <w:tcW w:w="992" w:type="dxa"/>
            <w:vAlign w:val="center"/>
          </w:tcPr>
          <w:p w:rsidR="002B5C8C" w:rsidRPr="003831EF" w:rsidRDefault="002B5C8C" w:rsidP="003831EF">
            <w:pPr>
              <w:jc w:val="center"/>
              <w:rPr>
                <w:sz w:val="20"/>
                <w:szCs w:val="20"/>
              </w:rPr>
            </w:pPr>
            <w:r>
              <w:rPr>
                <w:sz w:val="20"/>
                <w:szCs w:val="20"/>
              </w:rPr>
              <w:t>3</w:t>
            </w:r>
          </w:p>
        </w:tc>
      </w:tr>
      <w:tr w:rsidR="002B5C8C" w:rsidRPr="00466605" w:rsidTr="002B5C8C">
        <w:tc>
          <w:tcPr>
            <w:tcW w:w="3652" w:type="dxa"/>
          </w:tcPr>
          <w:p w:rsidR="002B5C8C" w:rsidRPr="003831EF" w:rsidRDefault="002B5C8C"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33</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33</w:t>
            </w:r>
          </w:p>
        </w:tc>
        <w:tc>
          <w:tcPr>
            <w:tcW w:w="992" w:type="dxa"/>
            <w:vAlign w:val="center"/>
          </w:tcPr>
          <w:p w:rsidR="002B5C8C" w:rsidRPr="002B5C8C" w:rsidRDefault="002B5C8C" w:rsidP="002B5C8C">
            <w:pPr>
              <w:jc w:val="center"/>
              <w:rPr>
                <w:sz w:val="20"/>
                <w:szCs w:val="20"/>
              </w:rPr>
            </w:pPr>
            <w:r w:rsidRPr="002B5C8C">
              <w:rPr>
                <w:sz w:val="20"/>
                <w:szCs w:val="20"/>
              </w:rPr>
              <w:t>0</w:t>
            </w:r>
          </w:p>
        </w:tc>
        <w:tc>
          <w:tcPr>
            <w:tcW w:w="992" w:type="dxa"/>
            <w:vAlign w:val="center"/>
          </w:tcPr>
          <w:p w:rsidR="002B5C8C" w:rsidRPr="002B5C8C" w:rsidRDefault="002B5C8C" w:rsidP="002B5C8C">
            <w:pPr>
              <w:jc w:val="center"/>
              <w:rPr>
                <w:sz w:val="20"/>
                <w:szCs w:val="20"/>
              </w:rPr>
            </w:pPr>
            <w:r w:rsidRPr="002B5C8C">
              <w:rPr>
                <w:sz w:val="20"/>
                <w:szCs w:val="20"/>
              </w:rPr>
              <w:t>100</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33</w:t>
            </w:r>
          </w:p>
        </w:tc>
        <w:tc>
          <w:tcPr>
            <w:tcW w:w="992" w:type="dxa"/>
            <w:vAlign w:val="center"/>
          </w:tcPr>
          <w:p w:rsidR="002B5C8C" w:rsidRPr="003831EF" w:rsidRDefault="002B5C8C" w:rsidP="003831EF">
            <w:pPr>
              <w:jc w:val="center"/>
              <w:rPr>
                <w:sz w:val="20"/>
                <w:szCs w:val="20"/>
              </w:rPr>
            </w:pPr>
            <w:r>
              <w:rPr>
                <w:sz w:val="20"/>
                <w:szCs w:val="20"/>
              </w:rPr>
              <w:t>33</w:t>
            </w:r>
          </w:p>
        </w:tc>
      </w:tr>
      <w:tr w:rsidR="002B5C8C" w:rsidRPr="00466605" w:rsidTr="002B5C8C">
        <w:tc>
          <w:tcPr>
            <w:tcW w:w="3652" w:type="dxa"/>
          </w:tcPr>
          <w:p w:rsidR="002B5C8C" w:rsidRPr="003831EF" w:rsidRDefault="002B5C8C"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27</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27</w:t>
            </w:r>
          </w:p>
        </w:tc>
        <w:tc>
          <w:tcPr>
            <w:tcW w:w="992" w:type="dxa"/>
            <w:vAlign w:val="center"/>
          </w:tcPr>
          <w:p w:rsidR="002B5C8C" w:rsidRPr="002B5C8C" w:rsidRDefault="002B5C8C" w:rsidP="002B5C8C">
            <w:pPr>
              <w:jc w:val="center"/>
              <w:rPr>
                <w:sz w:val="20"/>
                <w:szCs w:val="20"/>
              </w:rPr>
            </w:pPr>
            <w:r w:rsidRPr="002B5C8C">
              <w:rPr>
                <w:sz w:val="20"/>
                <w:szCs w:val="20"/>
              </w:rPr>
              <w:t>0</w:t>
            </w:r>
          </w:p>
        </w:tc>
        <w:tc>
          <w:tcPr>
            <w:tcW w:w="992" w:type="dxa"/>
            <w:vAlign w:val="center"/>
          </w:tcPr>
          <w:p w:rsidR="002B5C8C" w:rsidRPr="002B5C8C" w:rsidRDefault="002B5C8C" w:rsidP="002B5C8C">
            <w:pPr>
              <w:jc w:val="center"/>
              <w:rPr>
                <w:sz w:val="20"/>
                <w:szCs w:val="20"/>
              </w:rPr>
            </w:pPr>
            <w:r w:rsidRPr="002B5C8C">
              <w:rPr>
                <w:sz w:val="20"/>
                <w:szCs w:val="20"/>
              </w:rPr>
              <w:t>100</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27</w:t>
            </w:r>
          </w:p>
        </w:tc>
        <w:tc>
          <w:tcPr>
            <w:tcW w:w="992" w:type="dxa"/>
            <w:vAlign w:val="center"/>
          </w:tcPr>
          <w:p w:rsidR="002B5C8C" w:rsidRPr="003831EF" w:rsidRDefault="002B5C8C" w:rsidP="003831EF">
            <w:pPr>
              <w:jc w:val="center"/>
              <w:rPr>
                <w:sz w:val="20"/>
                <w:szCs w:val="20"/>
              </w:rPr>
            </w:pPr>
            <w:r>
              <w:rPr>
                <w:sz w:val="20"/>
                <w:szCs w:val="20"/>
              </w:rPr>
              <w:t>27</w:t>
            </w:r>
          </w:p>
        </w:tc>
      </w:tr>
      <w:tr w:rsidR="002B5C8C" w:rsidRPr="00466605" w:rsidTr="002B5C8C">
        <w:tc>
          <w:tcPr>
            <w:tcW w:w="3652" w:type="dxa"/>
            <w:vAlign w:val="bottom"/>
          </w:tcPr>
          <w:p w:rsidR="002B5C8C" w:rsidRPr="003831EF" w:rsidRDefault="002B5C8C" w:rsidP="0031390C">
            <w:pPr>
              <w:snapToGrid w:val="0"/>
              <w:rPr>
                <w:i/>
                <w:sz w:val="18"/>
                <w:szCs w:val="18"/>
              </w:rPr>
            </w:pPr>
            <w:r w:rsidRPr="003831EF">
              <w:rPr>
                <w:i/>
                <w:sz w:val="18"/>
                <w:szCs w:val="18"/>
              </w:rPr>
              <w:t>неналоговые доходы, в т.ч.:</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34,3</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8,7</w:t>
            </w:r>
          </w:p>
        </w:tc>
        <w:tc>
          <w:tcPr>
            <w:tcW w:w="992" w:type="dxa"/>
            <w:vAlign w:val="center"/>
          </w:tcPr>
          <w:p w:rsidR="002B5C8C" w:rsidRPr="002B5C8C" w:rsidRDefault="002B5C8C" w:rsidP="002B5C8C">
            <w:pPr>
              <w:jc w:val="center"/>
              <w:rPr>
                <w:sz w:val="20"/>
                <w:szCs w:val="20"/>
              </w:rPr>
            </w:pPr>
            <w:r w:rsidRPr="002B5C8C">
              <w:rPr>
                <w:sz w:val="20"/>
                <w:szCs w:val="20"/>
              </w:rPr>
              <w:t>-25,6</w:t>
            </w:r>
          </w:p>
        </w:tc>
        <w:tc>
          <w:tcPr>
            <w:tcW w:w="992" w:type="dxa"/>
            <w:vAlign w:val="center"/>
          </w:tcPr>
          <w:p w:rsidR="002B5C8C" w:rsidRPr="002B5C8C" w:rsidRDefault="002B5C8C" w:rsidP="002B5C8C">
            <w:pPr>
              <w:jc w:val="center"/>
              <w:rPr>
                <w:sz w:val="20"/>
                <w:szCs w:val="20"/>
              </w:rPr>
            </w:pPr>
            <w:r w:rsidRPr="002B5C8C">
              <w:rPr>
                <w:sz w:val="20"/>
                <w:szCs w:val="20"/>
              </w:rPr>
              <w:t>25,4</w:t>
            </w:r>
          </w:p>
        </w:tc>
        <w:tc>
          <w:tcPr>
            <w:tcW w:w="992" w:type="dxa"/>
            <w:vAlign w:val="center"/>
          </w:tcPr>
          <w:p w:rsidR="002B5C8C" w:rsidRPr="003831EF" w:rsidRDefault="002B5C8C" w:rsidP="003831EF">
            <w:pPr>
              <w:tabs>
                <w:tab w:val="left" w:pos="9923"/>
              </w:tabs>
              <w:ind w:right="-3"/>
              <w:jc w:val="center"/>
              <w:rPr>
                <w:sz w:val="20"/>
                <w:szCs w:val="20"/>
              </w:rPr>
            </w:pPr>
            <w:r>
              <w:rPr>
                <w:sz w:val="20"/>
                <w:szCs w:val="20"/>
              </w:rPr>
              <w:t>8,7</w:t>
            </w:r>
          </w:p>
        </w:tc>
        <w:tc>
          <w:tcPr>
            <w:tcW w:w="992" w:type="dxa"/>
            <w:vAlign w:val="center"/>
          </w:tcPr>
          <w:p w:rsidR="002B5C8C" w:rsidRPr="003831EF" w:rsidRDefault="002B5C8C" w:rsidP="003831EF">
            <w:pPr>
              <w:jc w:val="center"/>
              <w:rPr>
                <w:sz w:val="20"/>
                <w:szCs w:val="20"/>
              </w:rPr>
            </w:pPr>
            <w:r>
              <w:rPr>
                <w:sz w:val="20"/>
                <w:szCs w:val="20"/>
              </w:rPr>
              <w:t>8,7</w:t>
            </w:r>
          </w:p>
        </w:tc>
      </w:tr>
      <w:tr w:rsidR="002B5C8C" w:rsidRPr="00466605" w:rsidTr="002B5C8C">
        <w:tc>
          <w:tcPr>
            <w:tcW w:w="3652" w:type="dxa"/>
            <w:vAlign w:val="bottom"/>
          </w:tcPr>
          <w:p w:rsidR="002B5C8C" w:rsidRPr="004A2CC3" w:rsidRDefault="002B5C8C"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2B5C8C" w:rsidRPr="004A2CC3" w:rsidRDefault="002B5C8C" w:rsidP="0031390C">
            <w:pPr>
              <w:widowControl w:val="0"/>
              <w:numPr>
                <w:ilvl w:val="12"/>
                <w:numId w:val="0"/>
              </w:numPr>
              <w:jc w:val="center"/>
              <w:rPr>
                <w:sz w:val="18"/>
                <w:szCs w:val="18"/>
              </w:rPr>
            </w:pPr>
            <w:r>
              <w:rPr>
                <w:sz w:val="18"/>
                <w:szCs w:val="18"/>
              </w:rPr>
              <w:t>34,3</w:t>
            </w:r>
          </w:p>
        </w:tc>
        <w:tc>
          <w:tcPr>
            <w:tcW w:w="992" w:type="dxa"/>
            <w:vAlign w:val="center"/>
          </w:tcPr>
          <w:p w:rsidR="002B5C8C" w:rsidRPr="004A2CC3" w:rsidRDefault="002B5C8C" w:rsidP="0031390C">
            <w:pPr>
              <w:widowControl w:val="0"/>
              <w:numPr>
                <w:ilvl w:val="12"/>
                <w:numId w:val="0"/>
              </w:numPr>
              <w:jc w:val="center"/>
              <w:rPr>
                <w:sz w:val="18"/>
                <w:szCs w:val="18"/>
              </w:rPr>
            </w:pPr>
            <w:r>
              <w:rPr>
                <w:sz w:val="18"/>
                <w:szCs w:val="18"/>
              </w:rPr>
              <w:t>8,7</w:t>
            </w:r>
          </w:p>
        </w:tc>
        <w:tc>
          <w:tcPr>
            <w:tcW w:w="992" w:type="dxa"/>
            <w:vAlign w:val="center"/>
          </w:tcPr>
          <w:p w:rsidR="002B5C8C" w:rsidRPr="002B5C8C" w:rsidRDefault="002B5C8C" w:rsidP="002B5C8C">
            <w:pPr>
              <w:jc w:val="center"/>
              <w:rPr>
                <w:sz w:val="20"/>
                <w:szCs w:val="20"/>
              </w:rPr>
            </w:pPr>
            <w:r w:rsidRPr="002B5C8C">
              <w:rPr>
                <w:sz w:val="20"/>
                <w:szCs w:val="20"/>
              </w:rPr>
              <w:t>-25,6</w:t>
            </w:r>
          </w:p>
        </w:tc>
        <w:tc>
          <w:tcPr>
            <w:tcW w:w="992" w:type="dxa"/>
            <w:vAlign w:val="center"/>
          </w:tcPr>
          <w:p w:rsidR="002B5C8C" w:rsidRPr="002B5C8C" w:rsidRDefault="002B5C8C" w:rsidP="002B5C8C">
            <w:pPr>
              <w:jc w:val="center"/>
              <w:rPr>
                <w:sz w:val="20"/>
                <w:szCs w:val="20"/>
              </w:rPr>
            </w:pPr>
            <w:r w:rsidRPr="002B5C8C">
              <w:rPr>
                <w:sz w:val="20"/>
                <w:szCs w:val="20"/>
              </w:rPr>
              <w:t>25,4</w:t>
            </w:r>
          </w:p>
        </w:tc>
        <w:tc>
          <w:tcPr>
            <w:tcW w:w="992" w:type="dxa"/>
            <w:vAlign w:val="center"/>
          </w:tcPr>
          <w:p w:rsidR="002B5C8C" w:rsidRPr="004A2CC3" w:rsidRDefault="002B5C8C" w:rsidP="003831EF">
            <w:pPr>
              <w:tabs>
                <w:tab w:val="left" w:pos="9923"/>
              </w:tabs>
              <w:ind w:right="-3"/>
              <w:jc w:val="center"/>
              <w:rPr>
                <w:sz w:val="18"/>
                <w:szCs w:val="18"/>
              </w:rPr>
            </w:pPr>
            <w:r>
              <w:rPr>
                <w:sz w:val="18"/>
                <w:szCs w:val="18"/>
              </w:rPr>
              <w:t>8,7</w:t>
            </w:r>
          </w:p>
        </w:tc>
        <w:tc>
          <w:tcPr>
            <w:tcW w:w="992" w:type="dxa"/>
            <w:vAlign w:val="center"/>
          </w:tcPr>
          <w:p w:rsidR="002B5C8C" w:rsidRPr="004A2CC3" w:rsidRDefault="002B5C8C" w:rsidP="003831EF">
            <w:pPr>
              <w:jc w:val="center"/>
              <w:rPr>
                <w:sz w:val="18"/>
                <w:szCs w:val="18"/>
              </w:rPr>
            </w:pPr>
            <w:r>
              <w:rPr>
                <w:sz w:val="18"/>
                <w:szCs w:val="18"/>
              </w:rPr>
              <w:t>8,7</w:t>
            </w:r>
          </w:p>
        </w:tc>
      </w:tr>
      <w:tr w:rsidR="002B5C8C" w:rsidRPr="00466605" w:rsidTr="002B5C8C">
        <w:tc>
          <w:tcPr>
            <w:tcW w:w="3652" w:type="dxa"/>
          </w:tcPr>
          <w:p w:rsidR="002B5C8C" w:rsidRPr="003831EF" w:rsidRDefault="002B5C8C" w:rsidP="0031390C">
            <w:pPr>
              <w:widowControl w:val="0"/>
              <w:numPr>
                <w:ilvl w:val="12"/>
                <w:numId w:val="0"/>
              </w:numPr>
              <w:rPr>
                <w:sz w:val="18"/>
                <w:szCs w:val="18"/>
              </w:rPr>
            </w:pPr>
            <w:r w:rsidRPr="003831EF">
              <w:rPr>
                <w:sz w:val="18"/>
                <w:szCs w:val="18"/>
              </w:rPr>
              <w:t>Безвозмездные поступления, в т.ч.:</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6268,8</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5734,5</w:t>
            </w:r>
          </w:p>
        </w:tc>
        <w:tc>
          <w:tcPr>
            <w:tcW w:w="992" w:type="dxa"/>
            <w:vAlign w:val="center"/>
          </w:tcPr>
          <w:p w:rsidR="002B5C8C" w:rsidRPr="002B5C8C" w:rsidRDefault="002B5C8C" w:rsidP="002B5C8C">
            <w:pPr>
              <w:jc w:val="center"/>
              <w:rPr>
                <w:sz w:val="20"/>
                <w:szCs w:val="20"/>
              </w:rPr>
            </w:pPr>
            <w:r w:rsidRPr="002B5C8C">
              <w:rPr>
                <w:sz w:val="20"/>
                <w:szCs w:val="20"/>
              </w:rPr>
              <w:t>-534,3</w:t>
            </w:r>
          </w:p>
        </w:tc>
        <w:tc>
          <w:tcPr>
            <w:tcW w:w="992" w:type="dxa"/>
            <w:vAlign w:val="center"/>
          </w:tcPr>
          <w:p w:rsidR="002B5C8C" w:rsidRPr="002B5C8C" w:rsidRDefault="002B5C8C" w:rsidP="002B5C8C">
            <w:pPr>
              <w:jc w:val="center"/>
              <w:rPr>
                <w:sz w:val="20"/>
                <w:szCs w:val="20"/>
              </w:rPr>
            </w:pPr>
            <w:r w:rsidRPr="002B5C8C">
              <w:rPr>
                <w:sz w:val="20"/>
                <w:szCs w:val="20"/>
              </w:rPr>
              <w:t>91,5</w:t>
            </w:r>
          </w:p>
        </w:tc>
        <w:tc>
          <w:tcPr>
            <w:tcW w:w="992" w:type="dxa"/>
            <w:vAlign w:val="center"/>
          </w:tcPr>
          <w:p w:rsidR="002B5C8C" w:rsidRPr="003831EF" w:rsidRDefault="002B5C8C" w:rsidP="003831EF">
            <w:pPr>
              <w:snapToGrid w:val="0"/>
              <w:jc w:val="center"/>
              <w:rPr>
                <w:bCs/>
                <w:sz w:val="20"/>
                <w:szCs w:val="20"/>
              </w:rPr>
            </w:pPr>
            <w:r>
              <w:rPr>
                <w:bCs/>
                <w:sz w:val="20"/>
                <w:szCs w:val="20"/>
              </w:rPr>
              <w:t>5443,1</w:t>
            </w:r>
          </w:p>
        </w:tc>
        <w:tc>
          <w:tcPr>
            <w:tcW w:w="992" w:type="dxa"/>
            <w:vAlign w:val="center"/>
          </w:tcPr>
          <w:p w:rsidR="002B5C8C" w:rsidRPr="003831EF" w:rsidRDefault="002B5C8C" w:rsidP="003831EF">
            <w:pPr>
              <w:jc w:val="center"/>
              <w:rPr>
                <w:sz w:val="20"/>
                <w:szCs w:val="20"/>
              </w:rPr>
            </w:pPr>
            <w:r>
              <w:rPr>
                <w:sz w:val="20"/>
                <w:szCs w:val="20"/>
              </w:rPr>
              <w:t>5297,2</w:t>
            </w:r>
          </w:p>
        </w:tc>
      </w:tr>
      <w:tr w:rsidR="002B5C8C" w:rsidRPr="00466605" w:rsidTr="002B5C8C">
        <w:tc>
          <w:tcPr>
            <w:tcW w:w="3652" w:type="dxa"/>
          </w:tcPr>
          <w:p w:rsidR="002B5C8C" w:rsidRPr="003831EF" w:rsidRDefault="002B5C8C"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3697,3</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3611,5</w:t>
            </w:r>
          </w:p>
        </w:tc>
        <w:tc>
          <w:tcPr>
            <w:tcW w:w="992" w:type="dxa"/>
            <w:vAlign w:val="center"/>
          </w:tcPr>
          <w:p w:rsidR="002B5C8C" w:rsidRPr="002B5C8C" w:rsidRDefault="002B5C8C" w:rsidP="002B5C8C">
            <w:pPr>
              <w:jc w:val="center"/>
              <w:rPr>
                <w:sz w:val="20"/>
                <w:szCs w:val="20"/>
              </w:rPr>
            </w:pPr>
            <w:r w:rsidRPr="002B5C8C">
              <w:rPr>
                <w:sz w:val="20"/>
                <w:szCs w:val="20"/>
              </w:rPr>
              <w:t>-85,8</w:t>
            </w:r>
          </w:p>
        </w:tc>
        <w:tc>
          <w:tcPr>
            <w:tcW w:w="992" w:type="dxa"/>
            <w:vAlign w:val="center"/>
          </w:tcPr>
          <w:p w:rsidR="002B5C8C" w:rsidRPr="002B5C8C" w:rsidRDefault="002B5C8C" w:rsidP="002B5C8C">
            <w:pPr>
              <w:jc w:val="center"/>
              <w:rPr>
                <w:sz w:val="20"/>
                <w:szCs w:val="20"/>
              </w:rPr>
            </w:pPr>
            <w:r w:rsidRPr="002B5C8C">
              <w:rPr>
                <w:sz w:val="20"/>
                <w:szCs w:val="20"/>
              </w:rPr>
              <w:t>97,7</w:t>
            </w:r>
          </w:p>
        </w:tc>
        <w:tc>
          <w:tcPr>
            <w:tcW w:w="992" w:type="dxa"/>
            <w:vAlign w:val="center"/>
          </w:tcPr>
          <w:p w:rsidR="002B5C8C" w:rsidRPr="003831EF" w:rsidRDefault="002B5C8C" w:rsidP="003831EF">
            <w:pPr>
              <w:snapToGrid w:val="0"/>
              <w:jc w:val="center"/>
              <w:rPr>
                <w:bCs/>
                <w:sz w:val="20"/>
                <w:szCs w:val="20"/>
              </w:rPr>
            </w:pPr>
            <w:r>
              <w:rPr>
                <w:bCs/>
                <w:sz w:val="20"/>
                <w:szCs w:val="20"/>
              </w:rPr>
              <w:t>3318,6</w:t>
            </w:r>
          </w:p>
        </w:tc>
        <w:tc>
          <w:tcPr>
            <w:tcW w:w="992" w:type="dxa"/>
            <w:vAlign w:val="center"/>
          </w:tcPr>
          <w:p w:rsidR="002B5C8C" w:rsidRPr="003831EF" w:rsidRDefault="002B5C8C" w:rsidP="003831EF">
            <w:pPr>
              <w:jc w:val="center"/>
              <w:rPr>
                <w:sz w:val="20"/>
                <w:szCs w:val="20"/>
              </w:rPr>
            </w:pPr>
            <w:r>
              <w:rPr>
                <w:sz w:val="20"/>
                <w:szCs w:val="20"/>
              </w:rPr>
              <w:t>3307</w:t>
            </w:r>
          </w:p>
        </w:tc>
      </w:tr>
      <w:tr w:rsidR="002B5C8C" w:rsidRPr="00466605" w:rsidTr="002B5C8C">
        <w:tc>
          <w:tcPr>
            <w:tcW w:w="3652" w:type="dxa"/>
          </w:tcPr>
          <w:p w:rsidR="002B5C8C" w:rsidRPr="003831EF" w:rsidRDefault="002B5C8C"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200</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200</w:t>
            </w:r>
          </w:p>
        </w:tc>
        <w:tc>
          <w:tcPr>
            <w:tcW w:w="992" w:type="dxa"/>
            <w:vAlign w:val="center"/>
          </w:tcPr>
          <w:p w:rsidR="002B5C8C" w:rsidRPr="002B5C8C" w:rsidRDefault="002B5C8C" w:rsidP="002B5C8C">
            <w:pPr>
              <w:jc w:val="center"/>
              <w:rPr>
                <w:sz w:val="20"/>
                <w:szCs w:val="20"/>
              </w:rPr>
            </w:pPr>
            <w:r w:rsidRPr="002B5C8C">
              <w:rPr>
                <w:sz w:val="20"/>
                <w:szCs w:val="20"/>
              </w:rPr>
              <w:t>0</w:t>
            </w:r>
          </w:p>
        </w:tc>
        <w:tc>
          <w:tcPr>
            <w:tcW w:w="992" w:type="dxa"/>
            <w:vAlign w:val="center"/>
          </w:tcPr>
          <w:p w:rsidR="002B5C8C" w:rsidRPr="002B5C8C" w:rsidRDefault="002B5C8C" w:rsidP="002B5C8C">
            <w:pPr>
              <w:jc w:val="center"/>
              <w:rPr>
                <w:sz w:val="20"/>
                <w:szCs w:val="20"/>
              </w:rPr>
            </w:pPr>
            <w:r w:rsidRPr="002B5C8C">
              <w:rPr>
                <w:sz w:val="20"/>
                <w:szCs w:val="20"/>
              </w:rPr>
              <w:t>100</w:t>
            </w:r>
          </w:p>
        </w:tc>
        <w:tc>
          <w:tcPr>
            <w:tcW w:w="992" w:type="dxa"/>
            <w:vAlign w:val="center"/>
          </w:tcPr>
          <w:p w:rsidR="002B5C8C" w:rsidRPr="003831EF" w:rsidRDefault="002B5C8C" w:rsidP="003831EF">
            <w:pPr>
              <w:snapToGrid w:val="0"/>
              <w:jc w:val="center"/>
              <w:rPr>
                <w:bCs/>
                <w:sz w:val="20"/>
                <w:szCs w:val="20"/>
              </w:rPr>
            </w:pPr>
            <w:r>
              <w:rPr>
                <w:bCs/>
                <w:sz w:val="20"/>
                <w:szCs w:val="20"/>
              </w:rPr>
              <w:t>200</w:t>
            </w:r>
          </w:p>
        </w:tc>
        <w:tc>
          <w:tcPr>
            <w:tcW w:w="992" w:type="dxa"/>
            <w:vAlign w:val="center"/>
          </w:tcPr>
          <w:p w:rsidR="002B5C8C" w:rsidRPr="003831EF" w:rsidRDefault="002B5C8C" w:rsidP="003831EF">
            <w:pPr>
              <w:jc w:val="center"/>
              <w:rPr>
                <w:sz w:val="20"/>
                <w:szCs w:val="20"/>
              </w:rPr>
            </w:pPr>
            <w:r>
              <w:rPr>
                <w:sz w:val="20"/>
                <w:szCs w:val="20"/>
              </w:rPr>
              <w:t>200</w:t>
            </w:r>
          </w:p>
        </w:tc>
      </w:tr>
      <w:tr w:rsidR="002B5C8C" w:rsidRPr="00466605" w:rsidTr="002B5C8C">
        <w:tc>
          <w:tcPr>
            <w:tcW w:w="3652" w:type="dxa"/>
          </w:tcPr>
          <w:p w:rsidR="002B5C8C" w:rsidRPr="003831EF" w:rsidRDefault="002B5C8C"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134,8</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138</w:t>
            </w:r>
          </w:p>
        </w:tc>
        <w:tc>
          <w:tcPr>
            <w:tcW w:w="992" w:type="dxa"/>
            <w:vAlign w:val="center"/>
          </w:tcPr>
          <w:p w:rsidR="002B5C8C" w:rsidRPr="002B5C8C" w:rsidRDefault="002B5C8C" w:rsidP="002B5C8C">
            <w:pPr>
              <w:jc w:val="center"/>
              <w:rPr>
                <w:sz w:val="20"/>
                <w:szCs w:val="20"/>
              </w:rPr>
            </w:pPr>
            <w:r w:rsidRPr="002B5C8C">
              <w:rPr>
                <w:sz w:val="20"/>
                <w:szCs w:val="20"/>
              </w:rPr>
              <w:t>3,2</w:t>
            </w:r>
          </w:p>
        </w:tc>
        <w:tc>
          <w:tcPr>
            <w:tcW w:w="992" w:type="dxa"/>
            <w:vAlign w:val="center"/>
          </w:tcPr>
          <w:p w:rsidR="002B5C8C" w:rsidRPr="002B5C8C" w:rsidRDefault="002B5C8C" w:rsidP="002B5C8C">
            <w:pPr>
              <w:jc w:val="center"/>
              <w:rPr>
                <w:sz w:val="20"/>
                <w:szCs w:val="20"/>
              </w:rPr>
            </w:pPr>
            <w:r w:rsidRPr="002B5C8C">
              <w:rPr>
                <w:sz w:val="20"/>
                <w:szCs w:val="20"/>
              </w:rPr>
              <w:t>102,4</w:t>
            </w:r>
          </w:p>
        </w:tc>
        <w:tc>
          <w:tcPr>
            <w:tcW w:w="992" w:type="dxa"/>
            <w:vAlign w:val="center"/>
          </w:tcPr>
          <w:p w:rsidR="002B5C8C" w:rsidRPr="003831EF" w:rsidRDefault="002B5C8C" w:rsidP="003831EF">
            <w:pPr>
              <w:snapToGrid w:val="0"/>
              <w:jc w:val="center"/>
              <w:rPr>
                <w:bCs/>
                <w:sz w:val="20"/>
                <w:szCs w:val="20"/>
              </w:rPr>
            </w:pPr>
            <w:r>
              <w:rPr>
                <w:bCs/>
                <w:sz w:val="20"/>
                <w:szCs w:val="20"/>
              </w:rPr>
              <w:t>139,5</w:t>
            </w:r>
          </w:p>
        </w:tc>
        <w:tc>
          <w:tcPr>
            <w:tcW w:w="992" w:type="dxa"/>
            <w:vAlign w:val="center"/>
          </w:tcPr>
          <w:p w:rsidR="002B5C8C" w:rsidRPr="003831EF" w:rsidRDefault="002B5C8C" w:rsidP="003831EF">
            <w:pPr>
              <w:jc w:val="center"/>
              <w:rPr>
                <w:sz w:val="20"/>
                <w:szCs w:val="20"/>
              </w:rPr>
            </w:pPr>
            <w:r>
              <w:rPr>
                <w:sz w:val="20"/>
                <w:szCs w:val="20"/>
              </w:rPr>
              <w:t>145,2</w:t>
            </w:r>
          </w:p>
        </w:tc>
      </w:tr>
      <w:tr w:rsidR="002B5C8C" w:rsidRPr="00466605" w:rsidTr="002B5C8C">
        <w:tc>
          <w:tcPr>
            <w:tcW w:w="3652" w:type="dxa"/>
          </w:tcPr>
          <w:p w:rsidR="002B5C8C" w:rsidRPr="003831EF" w:rsidRDefault="002B5C8C"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2236,7</w:t>
            </w:r>
          </w:p>
        </w:tc>
        <w:tc>
          <w:tcPr>
            <w:tcW w:w="992" w:type="dxa"/>
            <w:vAlign w:val="center"/>
          </w:tcPr>
          <w:p w:rsidR="002B5C8C" w:rsidRPr="003831EF" w:rsidRDefault="002B5C8C" w:rsidP="0031390C">
            <w:pPr>
              <w:widowControl w:val="0"/>
              <w:numPr>
                <w:ilvl w:val="12"/>
                <w:numId w:val="0"/>
              </w:numPr>
              <w:jc w:val="center"/>
              <w:rPr>
                <w:sz w:val="20"/>
                <w:szCs w:val="20"/>
              </w:rPr>
            </w:pPr>
            <w:r>
              <w:rPr>
                <w:sz w:val="20"/>
                <w:szCs w:val="20"/>
              </w:rPr>
              <w:t>1785</w:t>
            </w:r>
          </w:p>
        </w:tc>
        <w:tc>
          <w:tcPr>
            <w:tcW w:w="992" w:type="dxa"/>
            <w:vAlign w:val="center"/>
          </w:tcPr>
          <w:p w:rsidR="002B5C8C" w:rsidRPr="002B5C8C" w:rsidRDefault="002B5C8C" w:rsidP="002B5C8C">
            <w:pPr>
              <w:jc w:val="center"/>
              <w:rPr>
                <w:sz w:val="20"/>
                <w:szCs w:val="20"/>
              </w:rPr>
            </w:pPr>
            <w:r w:rsidRPr="002B5C8C">
              <w:rPr>
                <w:sz w:val="20"/>
                <w:szCs w:val="20"/>
              </w:rPr>
              <w:t>-451,7</w:t>
            </w:r>
          </w:p>
        </w:tc>
        <w:tc>
          <w:tcPr>
            <w:tcW w:w="992" w:type="dxa"/>
            <w:vAlign w:val="center"/>
          </w:tcPr>
          <w:p w:rsidR="002B5C8C" w:rsidRPr="002B5C8C" w:rsidRDefault="002B5C8C" w:rsidP="002B5C8C">
            <w:pPr>
              <w:jc w:val="center"/>
              <w:rPr>
                <w:sz w:val="20"/>
                <w:szCs w:val="20"/>
              </w:rPr>
            </w:pPr>
            <w:r w:rsidRPr="002B5C8C">
              <w:rPr>
                <w:sz w:val="20"/>
                <w:szCs w:val="20"/>
              </w:rPr>
              <w:t>79,8</w:t>
            </w:r>
          </w:p>
        </w:tc>
        <w:tc>
          <w:tcPr>
            <w:tcW w:w="992" w:type="dxa"/>
            <w:vAlign w:val="center"/>
          </w:tcPr>
          <w:p w:rsidR="002B5C8C" w:rsidRPr="003831EF" w:rsidRDefault="002B5C8C" w:rsidP="003831EF">
            <w:pPr>
              <w:snapToGrid w:val="0"/>
              <w:jc w:val="center"/>
              <w:rPr>
                <w:bCs/>
                <w:sz w:val="20"/>
                <w:szCs w:val="20"/>
              </w:rPr>
            </w:pPr>
            <w:r>
              <w:rPr>
                <w:bCs/>
                <w:sz w:val="20"/>
                <w:szCs w:val="20"/>
              </w:rPr>
              <w:t>1785</w:t>
            </w:r>
          </w:p>
        </w:tc>
        <w:tc>
          <w:tcPr>
            <w:tcW w:w="992" w:type="dxa"/>
            <w:vAlign w:val="center"/>
          </w:tcPr>
          <w:p w:rsidR="002B5C8C" w:rsidRPr="003831EF" w:rsidRDefault="002B5C8C" w:rsidP="003831EF">
            <w:pPr>
              <w:jc w:val="center"/>
              <w:rPr>
                <w:sz w:val="20"/>
                <w:szCs w:val="20"/>
              </w:rPr>
            </w:pPr>
            <w:r>
              <w:rPr>
                <w:sz w:val="20"/>
                <w:szCs w:val="20"/>
              </w:rPr>
              <w:t>1645</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прогнозируется с</w:t>
      </w:r>
      <w:r w:rsidR="00643B23">
        <w:t>о</w:t>
      </w:r>
      <w:r>
        <w:t xml:space="preserve"> </w:t>
      </w:r>
      <w:r w:rsidR="00643B23">
        <w:t>снижением</w:t>
      </w:r>
      <w:r>
        <w:t xml:space="preserve"> к </w:t>
      </w:r>
      <w:r w:rsidRPr="00C5481A">
        <w:t>оценк</w:t>
      </w:r>
      <w:r>
        <w:t>е</w:t>
      </w:r>
      <w:r w:rsidRPr="00C5481A">
        <w:t xml:space="preserve"> 20</w:t>
      </w:r>
      <w:r w:rsidR="001F1DA0">
        <w:t>20</w:t>
      </w:r>
      <w:r w:rsidRPr="00C5481A">
        <w:t xml:space="preserve"> года на </w:t>
      </w:r>
      <w:r w:rsidR="00643B23">
        <w:t>12,6</w:t>
      </w:r>
      <w:r w:rsidRPr="00C5481A">
        <w:t xml:space="preserve"> процентных пункт</w:t>
      </w:r>
      <w:r>
        <w:t xml:space="preserve">а, или на </w:t>
      </w:r>
      <w:r w:rsidR="00643B23">
        <w:t>78,5</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643B23">
        <w:t>25,6</w:t>
      </w:r>
      <w:r>
        <w:t xml:space="preserve"> тыс. руб</w:t>
      </w:r>
      <w:r w:rsidR="001F1DA0">
        <w:t>лей (-</w:t>
      </w:r>
      <w:r w:rsidR="00643B23">
        <w:t>74,6</w:t>
      </w:r>
      <w:r>
        <w:t>%)</w:t>
      </w:r>
      <w:r w:rsidR="001F1DA0">
        <w:t>.</w:t>
      </w:r>
    </w:p>
    <w:p w:rsidR="008E6987" w:rsidRPr="00B40D0A" w:rsidRDefault="008E6987" w:rsidP="008E6987">
      <w:pPr>
        <w:ind w:firstLine="567"/>
        <w:jc w:val="both"/>
      </w:pPr>
      <w:r w:rsidRPr="00B40D0A">
        <w:t xml:space="preserve">В трехлетней перспективе структура доходов бюджета </w:t>
      </w:r>
      <w:r w:rsidR="00674005">
        <w:t>Лукиновского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643B23">
        <w:t>92,8</w:t>
      </w:r>
      <w:r>
        <w:t xml:space="preserve">%, </w:t>
      </w:r>
      <w:r w:rsidRPr="00B40D0A">
        <w:t>в 2020 году</w:t>
      </w:r>
      <w:r>
        <w:t xml:space="preserve"> (оценка исполнения)</w:t>
      </w:r>
      <w:r w:rsidRPr="00B40D0A">
        <w:t xml:space="preserve"> </w:t>
      </w:r>
      <w:r>
        <w:t>составит</w:t>
      </w:r>
      <w:r w:rsidRPr="00B40D0A">
        <w:t xml:space="preserve"> </w:t>
      </w:r>
      <w:r w:rsidR="00643B23">
        <w:t>90,5</w:t>
      </w:r>
      <w:r w:rsidRPr="00B40D0A">
        <w:t>%,</w:t>
      </w:r>
      <w:r w:rsidRPr="00C27AF6">
        <w:rPr>
          <w:color w:val="FF0000"/>
        </w:rPr>
        <w:t xml:space="preserve"> </w:t>
      </w:r>
      <w:r w:rsidRPr="00B40D0A">
        <w:t xml:space="preserve">в 2021 году </w:t>
      </w:r>
      <w:r>
        <w:t xml:space="preserve">(прогноз) </w:t>
      </w:r>
      <w:r w:rsidRPr="00B40D0A">
        <w:t xml:space="preserve">– </w:t>
      </w:r>
      <w:r w:rsidR="00643B23">
        <w:t>91,2</w:t>
      </w:r>
      <w:r w:rsidRPr="00B40D0A">
        <w:t xml:space="preserve">%, в 2022 году </w:t>
      </w:r>
      <w:r>
        <w:t xml:space="preserve">(прогноз) </w:t>
      </w:r>
      <w:r w:rsidRPr="00B40D0A">
        <w:t xml:space="preserve">– </w:t>
      </w:r>
      <w:r w:rsidR="00643B23">
        <w:t>90,5</w:t>
      </w:r>
      <w:r w:rsidRPr="00B40D0A">
        <w:t>%,</w:t>
      </w:r>
      <w:r w:rsidRPr="00C27AF6">
        <w:rPr>
          <w:color w:val="FF0000"/>
        </w:rPr>
        <w:t xml:space="preserve"> </w:t>
      </w:r>
      <w:r w:rsidRPr="00B40D0A">
        <w:t xml:space="preserve">в 2023 году </w:t>
      </w:r>
      <w:r>
        <w:t xml:space="preserve">(прогноз) </w:t>
      </w:r>
      <w:r w:rsidRPr="00B40D0A">
        <w:t xml:space="preserve">– </w:t>
      </w:r>
      <w:r w:rsidR="00643B23">
        <w:t>89,9</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903AB9">
        <w:t>67,2</w:t>
      </w:r>
      <w:r w:rsidRPr="00466605">
        <w:t>%</w:t>
      </w:r>
      <w:r>
        <w:t xml:space="preserve"> (или </w:t>
      </w:r>
      <w:r w:rsidR="00903AB9">
        <w:t>370,7</w:t>
      </w:r>
      <w:r>
        <w:t xml:space="preserve"> тыс. руб.)</w:t>
      </w:r>
      <w:r w:rsidRPr="00466605">
        <w:t>, в 202</w:t>
      </w:r>
      <w:r>
        <w:t>2г.</w:t>
      </w:r>
      <w:r w:rsidRPr="00466605">
        <w:t xml:space="preserve"> </w:t>
      </w:r>
      <w:r>
        <w:t xml:space="preserve">– </w:t>
      </w:r>
      <w:r w:rsidR="00903AB9">
        <w:t>67,6</w:t>
      </w:r>
      <w:r>
        <w:t>% (</w:t>
      </w:r>
      <w:r w:rsidR="00903AB9">
        <w:t>385,8</w:t>
      </w:r>
      <w:r>
        <w:t xml:space="preserve"> тыс. руб.), в 2023г. – </w:t>
      </w:r>
      <w:r w:rsidR="00903AB9">
        <w:t>69</w:t>
      </w:r>
      <w:r>
        <w:t>% (</w:t>
      </w:r>
      <w:r w:rsidR="00903AB9">
        <w:t>410,7</w:t>
      </w:r>
      <w:r>
        <w:t xml:space="preserve"> тыс. руб.)</w:t>
      </w:r>
      <w:r w:rsidR="00282219">
        <w:t>,</w:t>
      </w:r>
    </w:p>
    <w:p w:rsidR="005A13E5" w:rsidRPr="00466605" w:rsidRDefault="00282219" w:rsidP="005A13E5">
      <w:pPr>
        <w:widowControl w:val="0"/>
        <w:ind w:firstLine="720"/>
        <w:jc w:val="both"/>
      </w:pPr>
      <w:r w:rsidRPr="00466605">
        <w:t>- доходы от налога на доходы физических лиц в 202</w:t>
      </w:r>
      <w:r>
        <w:t>1</w:t>
      </w:r>
      <w:r w:rsidRPr="00466605">
        <w:t xml:space="preserve"> году – </w:t>
      </w:r>
      <w:r w:rsidR="00B650B6">
        <w:t>19,8</w:t>
      </w:r>
      <w:r w:rsidRPr="00466605">
        <w:t>%</w:t>
      </w:r>
      <w:r>
        <w:t xml:space="preserve"> (</w:t>
      </w:r>
      <w:r w:rsidR="00B650B6">
        <w:t>109</w:t>
      </w:r>
      <w:r>
        <w:t xml:space="preserve"> тыс. руб.)</w:t>
      </w:r>
      <w:r w:rsidRPr="00466605">
        <w:t>, в 202</w:t>
      </w:r>
      <w:r>
        <w:t>2</w:t>
      </w:r>
      <w:r w:rsidRPr="00466605">
        <w:t xml:space="preserve"> году – </w:t>
      </w:r>
      <w:r w:rsidR="00B650B6">
        <w:t>19,8</w:t>
      </w:r>
      <w:r w:rsidRPr="00466605">
        <w:t>%</w:t>
      </w:r>
      <w:r>
        <w:t xml:space="preserve"> (</w:t>
      </w:r>
      <w:r w:rsidR="00B650B6">
        <w:t>113</w:t>
      </w:r>
      <w:r>
        <w:t xml:space="preserve"> тыс. руб.)</w:t>
      </w:r>
      <w:r w:rsidRPr="00466605">
        <w:t>, в 202</w:t>
      </w:r>
      <w:r>
        <w:t>3</w:t>
      </w:r>
      <w:r w:rsidRPr="00466605">
        <w:t xml:space="preserve"> году – </w:t>
      </w:r>
      <w:r w:rsidR="00B650B6">
        <w:t>19</w:t>
      </w:r>
      <w:r w:rsidRPr="00466605">
        <w:t>%</w:t>
      </w:r>
      <w:r>
        <w:t xml:space="preserve"> (</w:t>
      </w:r>
      <w:r w:rsidR="00B650B6">
        <w:t>113</w:t>
      </w:r>
      <w:r>
        <w:t xml:space="preserve"> тыс. руб.).</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735DFC">
        <w:t>98,</w:t>
      </w:r>
      <w:r w:rsidR="007940F1">
        <w:t>4</w:t>
      </w:r>
      <w:r w:rsidR="001A0856" w:rsidRPr="007E6D2A">
        <w:t>%</w:t>
      </w:r>
      <w:r w:rsidR="00F7314A">
        <w:t xml:space="preserve"> (2021г.), </w:t>
      </w:r>
      <w:r w:rsidR="00735DFC">
        <w:t>98,</w:t>
      </w:r>
      <w:r w:rsidR="007940F1">
        <w:t>5</w:t>
      </w:r>
      <w:r w:rsidR="00F7314A">
        <w:t xml:space="preserve">% (2022г.), </w:t>
      </w:r>
      <w:r w:rsidR="007940F1">
        <w:t>98,5</w:t>
      </w:r>
      <w:r w:rsidR="00F7314A">
        <w:t>% (2023г.)</w:t>
      </w:r>
      <w:r w:rsidR="001A0856">
        <w:t xml:space="preserve"> от общего объема доходов без учета безвозмездных поступлений.</w:t>
      </w:r>
    </w:p>
    <w:p w:rsidR="00D45CBA" w:rsidRPr="00541773" w:rsidRDefault="003260BE" w:rsidP="00463B01">
      <w:pPr>
        <w:widowControl w:val="0"/>
        <w:numPr>
          <w:ilvl w:val="12"/>
          <w:numId w:val="0"/>
        </w:numPr>
        <w:ind w:firstLine="567"/>
        <w:jc w:val="both"/>
      </w:pPr>
      <w:r w:rsidRPr="00541773">
        <w:rPr>
          <w:b/>
        </w:rPr>
        <w:t>Налог на доходы физических лиц</w:t>
      </w:r>
      <w:r w:rsidR="00D45CBA" w:rsidRPr="00541773">
        <w:rPr>
          <w:b/>
        </w:rPr>
        <w:t>.</w:t>
      </w:r>
      <w:r w:rsidRPr="00541773">
        <w:t xml:space="preserve"> </w:t>
      </w:r>
      <w:r w:rsidR="00D45CBA" w:rsidRPr="00541773">
        <w:t>Поступления налога на доходы физических лиц на 202</w:t>
      </w:r>
      <w:r w:rsidR="00AA5219" w:rsidRPr="00541773">
        <w:t>1</w:t>
      </w:r>
      <w:r w:rsidR="00D45CBA" w:rsidRPr="00541773">
        <w:t xml:space="preserve"> год и на плановый период 202</w:t>
      </w:r>
      <w:r w:rsidR="00AA5219" w:rsidRPr="00541773">
        <w:t>2</w:t>
      </w:r>
      <w:r w:rsidR="00D45CBA" w:rsidRPr="00541773">
        <w:t>-202</w:t>
      </w:r>
      <w:r w:rsidR="00AA5219" w:rsidRPr="00541773">
        <w:t>3</w:t>
      </w:r>
      <w:r w:rsidR="00D45CBA" w:rsidRPr="00541773">
        <w:t xml:space="preserve"> годов запланированы на основе прогнозируемого темпа роста в 2020-2022 годах источника основной части налога – фонда </w:t>
      </w:r>
      <w:r w:rsidR="00FF166A" w:rsidRPr="00541773">
        <w:t>оплаты труда</w:t>
      </w:r>
      <w:r w:rsidR="00D45CBA" w:rsidRPr="00541773">
        <w:t>.</w:t>
      </w:r>
    </w:p>
    <w:p w:rsidR="00D45CBA" w:rsidRPr="00541773" w:rsidRDefault="00D45CBA" w:rsidP="00463B01">
      <w:pPr>
        <w:widowControl w:val="0"/>
        <w:numPr>
          <w:ilvl w:val="12"/>
          <w:numId w:val="0"/>
        </w:numPr>
        <w:ind w:firstLine="567"/>
        <w:jc w:val="both"/>
      </w:pPr>
      <w:r w:rsidRPr="00541773">
        <w:t xml:space="preserve">Прогноз поступлений налога </w:t>
      </w:r>
      <w:r w:rsidR="00AA5219" w:rsidRPr="00541773">
        <w:t xml:space="preserve">на доходы физических лиц </w:t>
      </w:r>
      <w:r w:rsidRPr="00541773">
        <w:t>в местный бюджет в 202</w:t>
      </w:r>
      <w:r w:rsidR="00AA5219" w:rsidRPr="00541773">
        <w:t>1</w:t>
      </w:r>
      <w:r w:rsidRPr="00541773">
        <w:t xml:space="preserve"> году составляет </w:t>
      </w:r>
      <w:r w:rsidR="00541773" w:rsidRPr="00541773">
        <w:t>109</w:t>
      </w:r>
      <w:r w:rsidRPr="00541773">
        <w:t xml:space="preserve"> тыс. рублей (+</w:t>
      </w:r>
      <w:r w:rsidR="00541773" w:rsidRPr="00541773">
        <w:t>1,9</w:t>
      </w:r>
      <w:r w:rsidRPr="00541773">
        <w:t>% к ожидаемым поступлениям 20</w:t>
      </w:r>
      <w:r w:rsidR="00AA5219" w:rsidRPr="00541773">
        <w:t>20</w:t>
      </w:r>
      <w:r w:rsidRPr="00541773">
        <w:t xml:space="preserve"> года), в 202</w:t>
      </w:r>
      <w:r w:rsidR="00AA5219" w:rsidRPr="00541773">
        <w:t>2</w:t>
      </w:r>
      <w:r w:rsidR="00541773" w:rsidRPr="00541773">
        <w:t>-2023</w:t>
      </w:r>
      <w:r w:rsidRPr="00541773">
        <w:t xml:space="preserve"> </w:t>
      </w:r>
      <w:r w:rsidR="00541773" w:rsidRPr="00541773">
        <w:t>гг.</w:t>
      </w:r>
      <w:r w:rsidRPr="00541773">
        <w:t xml:space="preserve"> – </w:t>
      </w:r>
      <w:r w:rsidR="00541773" w:rsidRPr="00541773">
        <w:t>113</w:t>
      </w:r>
      <w:r w:rsidRPr="00541773">
        <w:t xml:space="preserve"> тыс. рублей</w:t>
      </w:r>
      <w:r w:rsidR="00541773" w:rsidRPr="00541773">
        <w:t xml:space="preserve"> ежегодно</w:t>
      </w:r>
      <w:r w:rsidRPr="00541773">
        <w:t xml:space="preserve"> (+</w:t>
      </w:r>
      <w:r w:rsidR="00541773" w:rsidRPr="00541773">
        <w:t>3,7</w:t>
      </w:r>
      <w:r w:rsidRPr="00541773">
        <w:t>% к прогнозируемым поступлениям 202</w:t>
      </w:r>
      <w:r w:rsidR="00AA5219" w:rsidRPr="00541773">
        <w:t>1</w:t>
      </w:r>
      <w:r w:rsidR="00541773" w:rsidRPr="00541773">
        <w:t xml:space="preserve"> года)</w:t>
      </w:r>
      <w:r w:rsidRPr="00541773">
        <w:t>.</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674005">
        <w:t>Лукиновского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541773">
        <w:t>5</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541773">
        <w:t>370,7</w:t>
      </w:r>
      <w:r w:rsidR="00106633" w:rsidRPr="009B1744">
        <w:t xml:space="preserve"> тыс.руб., </w:t>
      </w:r>
      <w:r w:rsidR="007E21DC">
        <w:t>с</w:t>
      </w:r>
      <w:r w:rsidR="0085426E">
        <w:t>о</w:t>
      </w:r>
      <w:r w:rsidR="00106633" w:rsidRPr="009B1744">
        <w:t xml:space="preserve"> </w:t>
      </w:r>
      <w:r w:rsidR="0085426E">
        <w:t>снижением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541773">
        <w:t>78,5</w:t>
      </w:r>
      <w:r w:rsidR="003134B5">
        <w:t xml:space="preserve"> тыс.</w:t>
      </w:r>
      <w:r w:rsidR="00FD3805">
        <w:t xml:space="preserve"> </w:t>
      </w:r>
      <w:r w:rsidR="003134B5">
        <w:t>руб</w:t>
      </w:r>
      <w:r w:rsidR="003F736E">
        <w:t>лей</w:t>
      </w:r>
      <w:r w:rsidR="003134B5">
        <w:t xml:space="preserve"> (</w:t>
      </w:r>
      <w:r w:rsidR="00541773">
        <w:t>-17,5</w:t>
      </w:r>
      <w:r w:rsidR="003134B5">
        <w:t>%)</w:t>
      </w:r>
      <w:r w:rsidR="0085426E">
        <w:t xml:space="preserve">, на 2022 год в сумме </w:t>
      </w:r>
      <w:r w:rsidR="00541773">
        <w:t>385,8</w:t>
      </w:r>
      <w:r w:rsidR="0085426E">
        <w:t xml:space="preserve"> тыс. руб., с ростом к прогнозу 2021г. на </w:t>
      </w:r>
      <w:r w:rsidR="00541773">
        <w:t>15,1</w:t>
      </w:r>
      <w:r w:rsidR="0085426E">
        <w:t xml:space="preserve"> тыс. руб. (+</w:t>
      </w:r>
      <w:r w:rsidR="00EC77A8">
        <w:t>4,1</w:t>
      </w:r>
      <w:r w:rsidR="0085426E">
        <w:t xml:space="preserve">%), на 2023г.  в сумме </w:t>
      </w:r>
      <w:r w:rsidR="00541773">
        <w:t>410,7</w:t>
      </w:r>
      <w:r w:rsidR="0085426E">
        <w:t xml:space="preserve"> тыс. руб., с ростом </w:t>
      </w:r>
      <w:r w:rsidR="00E651BB">
        <w:t>к</w:t>
      </w:r>
      <w:r w:rsidR="0085426E">
        <w:t xml:space="preserve"> прогнозу 2022г. на </w:t>
      </w:r>
      <w:r w:rsidR="00541773">
        <w:t>24,9</w:t>
      </w:r>
      <w:r w:rsidR="0085426E">
        <w:t xml:space="preserve"> тыс. руб. (+</w:t>
      </w:r>
      <w:r w:rsidR="00EC77A8">
        <w:t>6,4</w:t>
      </w:r>
      <w:r w:rsidR="0085426E">
        <w:t>%)</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00541773">
        <w:t>-2023</w:t>
      </w:r>
      <w:r w:rsidRPr="00DB174C">
        <w:t xml:space="preserve"> год</w:t>
      </w:r>
      <w:r w:rsidR="00541773">
        <w:t>ы</w:t>
      </w:r>
      <w:r w:rsidRPr="00DB174C">
        <w:t xml:space="preserve"> в сумме </w:t>
      </w:r>
      <w:r w:rsidR="00541773">
        <w:t>63</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541773">
        <w:t>о</w:t>
      </w:r>
      <w:r w:rsidRPr="00DB174C">
        <w:t xml:space="preserve"> </w:t>
      </w:r>
      <w:r w:rsidR="00541773">
        <w:t>снижением</w:t>
      </w:r>
      <w:r w:rsidRPr="00DB174C">
        <w:t xml:space="preserve"> к </w:t>
      </w:r>
      <w:r w:rsidR="00FD3805">
        <w:t>ожидаемым поступлениям</w:t>
      </w:r>
      <w:r w:rsidRPr="00DB174C">
        <w:t xml:space="preserve"> 20</w:t>
      </w:r>
      <w:r w:rsidR="00F173CF">
        <w:t>20</w:t>
      </w:r>
      <w:r w:rsidRPr="00DB174C">
        <w:t xml:space="preserve"> года на </w:t>
      </w:r>
      <w:r w:rsidR="00541773">
        <w:t>2</w:t>
      </w:r>
      <w:r w:rsidRPr="00DB174C">
        <w:t xml:space="preserve"> тыс.руб. </w:t>
      </w:r>
      <w:r w:rsidR="00541773">
        <w:t>(-3,1</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541773">
        <w:t>3</w:t>
      </w:r>
      <w:r w:rsidR="00DB174C" w:rsidRPr="00DB174C">
        <w:t xml:space="preserve"> </w:t>
      </w:r>
      <w:r w:rsidRPr="00DB174C">
        <w:t>тыс.</w:t>
      </w:r>
      <w:r w:rsidR="00541773">
        <w:t xml:space="preserve"> </w:t>
      </w:r>
      <w:r w:rsidRPr="00DB174C">
        <w:t>руб</w:t>
      </w:r>
      <w:r w:rsidR="00913187">
        <w:t>лей</w:t>
      </w:r>
      <w:r w:rsidR="00DB174C" w:rsidRPr="00DB174C">
        <w:t>,</w:t>
      </w:r>
      <w:r w:rsidRPr="00DB174C">
        <w:t xml:space="preserve"> </w:t>
      </w:r>
      <w:r w:rsidR="00EC77A8">
        <w:t xml:space="preserve">ежегодно, </w:t>
      </w:r>
      <w:r w:rsidR="00541773" w:rsidRPr="00DB174C">
        <w:t>с</w:t>
      </w:r>
      <w:r w:rsidR="00541773">
        <w:t>о</w:t>
      </w:r>
      <w:r w:rsidR="00541773" w:rsidRPr="00DB174C">
        <w:t xml:space="preserve"> </w:t>
      </w:r>
      <w:r w:rsidR="00541773">
        <w:t>снижением</w:t>
      </w:r>
      <w:r w:rsidR="00541773" w:rsidRPr="00DB174C">
        <w:t xml:space="preserve"> к </w:t>
      </w:r>
      <w:r w:rsidR="00541773">
        <w:t>ожидаемым поступлениям</w:t>
      </w:r>
      <w:r w:rsidR="00541773" w:rsidRPr="00DB174C">
        <w:t xml:space="preserve"> 20</w:t>
      </w:r>
      <w:r w:rsidR="00541773">
        <w:t>20</w:t>
      </w:r>
      <w:r w:rsidR="00541773" w:rsidRPr="00DB174C">
        <w:t xml:space="preserve"> года на </w:t>
      </w:r>
      <w:r w:rsidR="00541773">
        <w:t>2</w:t>
      </w:r>
      <w:r w:rsidR="00541773" w:rsidRPr="00DB174C">
        <w:t xml:space="preserve"> тыс.руб. </w:t>
      </w:r>
      <w:r w:rsidR="00541773">
        <w:t>(-40</w:t>
      </w:r>
      <w:r w:rsidR="00541773" w:rsidRPr="00DB174C">
        <w:t>%</w:t>
      </w:r>
      <w:r w:rsidR="00541773">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B7038A" w:rsidRDefault="00593D39" w:rsidP="00B7038A">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D661F4">
        <w:t>1</w:t>
      </w:r>
      <w:r w:rsidR="00B7038A">
        <w:t>-2023</w:t>
      </w:r>
      <w:r w:rsidR="0070250C" w:rsidRPr="00593D39">
        <w:t xml:space="preserve"> </w:t>
      </w:r>
      <w:r w:rsidR="00B7038A">
        <w:t>гг.</w:t>
      </w:r>
      <w:r w:rsidR="0070250C" w:rsidRPr="00593D39">
        <w:t xml:space="preserve"> в сумме </w:t>
      </w:r>
      <w:r w:rsidR="00B7038A">
        <w:t>33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на уровне </w:t>
      </w:r>
      <w:r w:rsidR="00B7038A" w:rsidRPr="009B1744">
        <w:t>ожидаем</w:t>
      </w:r>
      <w:r w:rsidR="00B7038A">
        <w:t>ых</w:t>
      </w:r>
      <w:r w:rsidR="00B7038A" w:rsidRPr="009B1744">
        <w:t xml:space="preserve"> </w:t>
      </w:r>
      <w:r w:rsidR="00B7038A">
        <w:t>поступлений</w:t>
      </w:r>
      <w:r w:rsidR="00B7038A" w:rsidRPr="009B1744">
        <w:t xml:space="preserve"> 20</w:t>
      </w:r>
      <w:r w:rsidR="00B7038A">
        <w:t>20</w:t>
      </w:r>
      <w:r w:rsidR="00B7038A" w:rsidRPr="009B1744">
        <w:t xml:space="preserve"> года</w:t>
      </w:r>
      <w:r w:rsidR="00B7038A">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8B7B8C">
        <w:t>1</w:t>
      </w:r>
      <w:r w:rsidR="002A05AB">
        <w:t>-2023</w:t>
      </w:r>
      <w:r w:rsidR="00593D39" w:rsidRPr="00593D39">
        <w:t xml:space="preserve"> год</w:t>
      </w:r>
      <w:r w:rsidR="002A05AB">
        <w:t>ы</w:t>
      </w:r>
      <w:r w:rsidR="00593D39" w:rsidRPr="00593D39">
        <w:t xml:space="preserve"> в сумме </w:t>
      </w:r>
      <w:r w:rsidR="00B7038A">
        <w:t>27</w:t>
      </w:r>
      <w:r w:rsidR="00593D39" w:rsidRPr="00593D39">
        <w:t xml:space="preserve"> тыс.</w:t>
      </w:r>
      <w:r w:rsidR="00D8389B">
        <w:t xml:space="preserve"> </w:t>
      </w:r>
      <w:r w:rsidR="00593D39" w:rsidRPr="00593D39">
        <w:t>руб</w:t>
      </w:r>
      <w:r w:rsidR="00D8389B">
        <w:t>лей</w:t>
      </w:r>
      <w:r w:rsidR="005115A6">
        <w:t>,</w:t>
      </w:r>
      <w:r w:rsidR="00593D39" w:rsidRPr="00593D39">
        <w:t xml:space="preserve"> </w:t>
      </w:r>
      <w:r w:rsidR="002A05AB">
        <w:t xml:space="preserve">ежегодно, на уровне </w:t>
      </w:r>
      <w:r w:rsidR="002A05AB" w:rsidRPr="009B1744">
        <w:t>ожидаем</w:t>
      </w:r>
      <w:r w:rsidR="002A05AB">
        <w:t>ых</w:t>
      </w:r>
      <w:r w:rsidR="002A05AB" w:rsidRPr="009B1744">
        <w:t xml:space="preserve"> </w:t>
      </w:r>
      <w:r w:rsidR="002A05AB">
        <w:t>поступлений</w:t>
      </w:r>
      <w:r w:rsidR="002A05AB" w:rsidRPr="009B1744">
        <w:t xml:space="preserve"> 20</w:t>
      </w:r>
      <w:r w:rsidR="002A05AB">
        <w:t>20</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F91A64">
        <w:t>1,6</w:t>
      </w:r>
      <w:r w:rsidRPr="007E6D2A">
        <w:t>%</w:t>
      </w:r>
      <w:r>
        <w:t xml:space="preserve"> (2021г.), </w:t>
      </w:r>
      <w:r w:rsidR="00E13272">
        <w:t>1,</w:t>
      </w:r>
      <w:r w:rsidR="00F91A64">
        <w:t>5</w:t>
      </w:r>
      <w:r>
        <w:t xml:space="preserve">% (2022г.), </w:t>
      </w:r>
      <w:r w:rsidR="00E13272">
        <w:t>1</w:t>
      </w:r>
      <w:r>
        <w:t>% (2023г.) от общего объема доходов без учета безвозмездных поступлений:</w:t>
      </w:r>
    </w:p>
    <w:p w:rsidR="00F730E8" w:rsidRDefault="00CD2B1D" w:rsidP="008179F6">
      <w:pPr>
        <w:widowControl w:val="0"/>
        <w:numPr>
          <w:ilvl w:val="12"/>
          <w:numId w:val="0"/>
        </w:numPr>
        <w:ind w:firstLine="567"/>
        <w:jc w:val="both"/>
      </w:pPr>
      <w:r w:rsidRPr="008179F6">
        <w:rPr>
          <w:i/>
        </w:rPr>
        <w:t>Доходы от оказания платных услуг и компенсации затрат государства</w:t>
      </w:r>
      <w:r w:rsidRPr="007C17BF">
        <w:rPr>
          <w:u w:val="single"/>
        </w:rPr>
        <w:t xml:space="preserve"> </w:t>
      </w:r>
      <w:r w:rsidR="008179F6">
        <w:t xml:space="preserve">прогнозируется </w:t>
      </w:r>
      <w:r w:rsidR="008179F6" w:rsidRPr="00593D39">
        <w:t>в доходах местного бюджета на 20</w:t>
      </w:r>
      <w:r w:rsidR="008179F6">
        <w:t>21-2023</w:t>
      </w:r>
      <w:r w:rsidR="008179F6" w:rsidRPr="00593D39">
        <w:t xml:space="preserve"> год</w:t>
      </w:r>
      <w:r w:rsidR="008179F6">
        <w:t>ы</w:t>
      </w:r>
      <w:r w:rsidR="008179F6" w:rsidRPr="00593D39">
        <w:t xml:space="preserve"> в сумме </w:t>
      </w:r>
      <w:r w:rsidR="00F730E8">
        <w:t>8,7</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F730E8">
        <w:t>со снижением на 25,6 тыс. руб. (-74,6%) к</w:t>
      </w:r>
      <w:r w:rsidR="008179F6">
        <w:t xml:space="preserve"> уровн</w:t>
      </w:r>
      <w:r w:rsidR="00F730E8">
        <w:t>ю</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20</w:t>
      </w:r>
      <w:r w:rsidR="008179F6" w:rsidRPr="009B1744">
        <w:t xml:space="preserve"> года</w:t>
      </w:r>
      <w:r w:rsidR="008179F6">
        <w:t>.</w:t>
      </w:r>
      <w:r w:rsidR="00F730E8">
        <w:t xml:space="preserve"> </w:t>
      </w:r>
    </w:p>
    <w:p w:rsidR="008179F6" w:rsidRPr="00F730E8" w:rsidRDefault="00F730E8" w:rsidP="008179F6">
      <w:pPr>
        <w:widowControl w:val="0"/>
        <w:numPr>
          <w:ilvl w:val="12"/>
          <w:numId w:val="0"/>
        </w:numPr>
        <w:ind w:firstLine="567"/>
        <w:jc w:val="both"/>
        <w:rPr>
          <w:i/>
        </w:rPr>
      </w:pPr>
      <w:r w:rsidRPr="00F730E8">
        <w:rPr>
          <w:i/>
        </w:rPr>
        <w:t xml:space="preserve">КСК района отмечает, что Пояснительная записка к проекту бюджета </w:t>
      </w:r>
      <w:r>
        <w:rPr>
          <w:i/>
        </w:rPr>
        <w:t xml:space="preserve">не содержит пояснений о причине значительного снижения </w:t>
      </w:r>
      <w:r w:rsidR="00546CD2">
        <w:rPr>
          <w:i/>
        </w:rPr>
        <w:t xml:space="preserve">прогноза поступлений </w:t>
      </w:r>
      <w:r>
        <w:rPr>
          <w:i/>
        </w:rPr>
        <w:t xml:space="preserve">неналоговых доходов, отсутствует анализ по </w:t>
      </w:r>
      <w:r w:rsidRPr="00F730E8">
        <w:rPr>
          <w:i/>
        </w:rPr>
        <w:t>налогам на товары (работы, услуги), реализуемые на территории РФ (акцизам</w:t>
      </w:r>
      <w:r>
        <w:rPr>
          <w:i/>
        </w:rPr>
        <w:t>).</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rsidR="00546CD2">
        <w:t>5734,5</w:t>
      </w:r>
      <w:r w:rsidR="009E42BA">
        <w:t xml:space="preserve"> тыс. рублей, что на </w:t>
      </w:r>
      <w:r w:rsidR="00546CD2">
        <w:t>534,3</w:t>
      </w:r>
      <w:r w:rsidR="009E42BA">
        <w:t xml:space="preserve"> тыс. рублей </w:t>
      </w:r>
      <w:r w:rsidR="00834B6D">
        <w:t>(-</w:t>
      </w:r>
      <w:r w:rsidR="00546CD2">
        <w:t>8,5</w:t>
      </w:r>
      <w:r w:rsidR="00834B6D">
        <w:t xml:space="preserve">%) </w:t>
      </w:r>
      <w:r w:rsidR="009E42BA">
        <w:t xml:space="preserve">меньше ожидаемого уровня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rsidR="00546CD2">
        <w:t>5443,1</w:t>
      </w:r>
      <w:r w:rsidR="009E42BA">
        <w:t xml:space="preserve"> тыс. рублей (-</w:t>
      </w:r>
      <w:r w:rsidR="00546CD2">
        <w:t>5</w:t>
      </w:r>
      <w:r w:rsidR="009E42BA">
        <w:t>% к уровню 202</w:t>
      </w:r>
      <w:r w:rsidR="00834B6D">
        <w:t>1</w:t>
      </w:r>
      <w:r w:rsidR="009E42BA">
        <w:t xml:space="preserve"> года) и </w:t>
      </w:r>
      <w:r w:rsidR="00546CD2">
        <w:t>5297,2</w:t>
      </w:r>
      <w:r w:rsidR="009E42BA">
        <w:t xml:space="preserve"> тыс. рублей (-</w:t>
      </w:r>
      <w:r>
        <w:t>2,7</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546CD2">
        <w:t>162,9</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546CD2">
        <w:t>3448,6</w:t>
      </w:r>
      <w:r w:rsidR="00443B89">
        <w:t xml:space="preserve"> тыс. руб.) </w:t>
      </w:r>
      <w:r>
        <w:t>бюджетов на 20</w:t>
      </w:r>
      <w:r w:rsidR="00D85A72">
        <w:t>2</w:t>
      </w:r>
      <w:r w:rsidR="000871E3">
        <w:t>1</w:t>
      </w:r>
      <w:r>
        <w:t xml:space="preserve"> год </w:t>
      </w:r>
      <w:r w:rsidR="00443B89">
        <w:t xml:space="preserve">в общей сумме </w:t>
      </w:r>
      <w:r w:rsidR="00546CD2">
        <w:t>3611,5</w:t>
      </w:r>
      <w:r>
        <w:t xml:space="preserve"> тыс. рублей, по сравнению с оценкой 20</w:t>
      </w:r>
      <w:r w:rsidR="000871E3">
        <w:t>20</w:t>
      </w:r>
      <w:r>
        <w:t xml:space="preserve"> года, име</w:t>
      </w:r>
      <w:r w:rsidR="00111F72">
        <w:t>е</w:t>
      </w:r>
      <w:r>
        <w:t xml:space="preserve">т тенденцию к </w:t>
      </w:r>
      <w:r w:rsidR="000871E3">
        <w:t>снижению</w:t>
      </w:r>
      <w:r>
        <w:t xml:space="preserve"> на </w:t>
      </w:r>
      <w:r w:rsidR="00546CD2">
        <w:t>85,8</w:t>
      </w:r>
      <w:r w:rsidR="000871E3">
        <w:t xml:space="preserve"> тыс. рублей (-</w:t>
      </w:r>
      <w:r w:rsidR="00546CD2">
        <w:t>2,3</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546CD2">
        <w:t>3318,6</w:t>
      </w:r>
      <w:r w:rsidR="008A5493">
        <w:t xml:space="preserve"> тыс. рублей (</w:t>
      </w:r>
      <w:r w:rsidR="00546CD2">
        <w:t>144,5</w:t>
      </w:r>
      <w:r w:rsidR="00730FD0">
        <w:t xml:space="preserve"> тыс. руб. – областной бюджет, </w:t>
      </w:r>
      <w:r w:rsidR="00546CD2">
        <w:t>3174,1</w:t>
      </w:r>
      <w:r w:rsidR="00730FD0">
        <w:t xml:space="preserve"> тыс. руб. - </w:t>
      </w:r>
      <w:r w:rsidR="000871E3">
        <w:t>районный</w:t>
      </w:r>
      <w:r w:rsidR="008A5493">
        <w:t xml:space="preserve"> бюджет) и </w:t>
      </w:r>
      <w:r w:rsidR="00546CD2">
        <w:t>3307</w:t>
      </w:r>
      <w:r w:rsidR="008A5493">
        <w:t xml:space="preserve"> тыс. рублей (</w:t>
      </w:r>
      <w:r w:rsidR="00546CD2">
        <w:t>156</w:t>
      </w:r>
      <w:r w:rsidR="00730FD0">
        <w:t xml:space="preserve"> тыс. руб. – областной бюджет, </w:t>
      </w:r>
      <w:r w:rsidR="00546CD2">
        <w:t>3151</w:t>
      </w:r>
      <w:r w:rsidR="00730FD0">
        <w:t xml:space="preserve"> тыс. руб. -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rsidR="00830F17">
        <w:t xml:space="preserve"> -</w:t>
      </w:r>
      <w:r>
        <w:t xml:space="preserve"> </w:t>
      </w:r>
      <w:r w:rsidR="00A05BA4">
        <w:t>на</w:t>
      </w:r>
      <w:r>
        <w:t xml:space="preserve"> уровн</w:t>
      </w:r>
      <w:r w:rsidR="00A05BA4">
        <w:t>е</w:t>
      </w:r>
      <w:r>
        <w:t xml:space="preserve"> </w:t>
      </w:r>
      <w:r w:rsidR="007B7BB8">
        <w:t xml:space="preserve">исполнения </w:t>
      </w:r>
      <w:r>
        <w:t>20</w:t>
      </w:r>
      <w:r w:rsidR="007B7BB8">
        <w:t>20</w:t>
      </w:r>
      <w:r>
        <w:t xml:space="preserve"> года.</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730FD0" w:rsidRDefault="0010338F" w:rsidP="00730FD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674005">
        <w:t>Лукиновского</w:t>
      </w:r>
      <w:r w:rsidR="00BF30B7">
        <w:t xml:space="preserve"> сельского поселения предусмотрен на 20</w:t>
      </w:r>
      <w:r w:rsidR="004E365A">
        <w:t>2</w:t>
      </w:r>
      <w:r w:rsidR="00553F51">
        <w:t>1</w:t>
      </w:r>
      <w:r w:rsidR="00830F17">
        <w:t>-2022</w:t>
      </w:r>
      <w:r w:rsidR="00BF30B7">
        <w:t xml:space="preserve"> год</w:t>
      </w:r>
      <w:r w:rsidR="00830F17">
        <w:t>ы</w:t>
      </w:r>
      <w:r w:rsidR="00BF30B7">
        <w:t xml:space="preserve"> в сумме </w:t>
      </w:r>
      <w:r w:rsidR="00830F17">
        <w:t>1785</w:t>
      </w:r>
      <w:r w:rsidR="00BF30B7">
        <w:t xml:space="preserve"> тыс. руб., </w:t>
      </w:r>
      <w:r w:rsidR="00830F17">
        <w:t xml:space="preserve">ежегодно, </w:t>
      </w:r>
      <w:r w:rsidR="00BF30B7">
        <w:t>с</w:t>
      </w:r>
      <w:r w:rsidR="00730FD0">
        <w:t>о</w:t>
      </w:r>
      <w:r w:rsidR="00BF30B7">
        <w:t xml:space="preserve"> </w:t>
      </w:r>
      <w:r w:rsidR="00730FD0">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830F17">
        <w:t>451,7</w:t>
      </w:r>
      <w:r w:rsidR="00730FD0">
        <w:t xml:space="preserve"> тыс. руб. (-</w:t>
      </w:r>
      <w:r w:rsidR="00830F17">
        <w:t>20,2</w:t>
      </w:r>
      <w:r w:rsidR="00BF30B7">
        <w:t>%)</w:t>
      </w:r>
      <w:r w:rsidR="00553F51">
        <w:t xml:space="preserve">, </w:t>
      </w:r>
      <w:r w:rsidR="00730FD0">
        <w:t xml:space="preserve">на 2023 год  - </w:t>
      </w:r>
      <w:r w:rsidR="00830F17">
        <w:t>1645</w:t>
      </w:r>
      <w:r w:rsidR="00730FD0">
        <w:t xml:space="preserve"> тыс. рублей (-</w:t>
      </w:r>
      <w:r w:rsidR="00830F17">
        <w:t>7,8</w:t>
      </w:r>
      <w:r w:rsidR="00730FD0">
        <w:t>%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74005">
        <w:t>Лукиновского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830F17">
        <w:t>63</w:t>
      </w:r>
      <w:r w:rsidR="00657F6C" w:rsidRPr="00715968">
        <w:t>%,</w:t>
      </w:r>
      <w:r w:rsidR="00386290" w:rsidRPr="00386290">
        <w:t xml:space="preserve"> </w:t>
      </w:r>
      <w:r w:rsidR="00292AAA">
        <w:t xml:space="preserve">прочие МБТ – </w:t>
      </w:r>
      <w:r w:rsidR="00830F17">
        <w:t>31,1</w:t>
      </w:r>
      <w:r w:rsidR="00292AAA">
        <w:t xml:space="preserve">%, </w:t>
      </w:r>
      <w:r w:rsidR="00CE211B">
        <w:t xml:space="preserve">субсидии – </w:t>
      </w:r>
      <w:r w:rsidR="00830F17">
        <w:t>3,5</w:t>
      </w:r>
      <w:r w:rsidR="00CE211B">
        <w:t xml:space="preserve">%, </w:t>
      </w:r>
      <w:r w:rsidR="00386290" w:rsidRPr="00715968">
        <w:t>субвенции</w:t>
      </w:r>
      <w:r w:rsidR="00386290">
        <w:t xml:space="preserve"> – </w:t>
      </w:r>
      <w:r w:rsidR="00830F17">
        <w:t>2,4</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674005">
        <w:t>Лукиновского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74005">
        <w:t>Лукиновского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C66D11">
        <w:rPr>
          <w:b w:val="0"/>
          <w:bCs w:val="0"/>
          <w:i w:val="0"/>
          <w:color w:val="000000"/>
          <w:spacing w:val="3"/>
          <w:sz w:val="24"/>
        </w:rPr>
        <w:t>1</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6C441B">
        <w:rPr>
          <w:b w:val="0"/>
          <w:bCs w:val="0"/>
          <w:i w:val="0"/>
          <w:color w:val="000000"/>
          <w:spacing w:val="3"/>
          <w:sz w:val="24"/>
        </w:rPr>
        <w:t>6306,5</w:t>
      </w:r>
      <w:r>
        <w:rPr>
          <w:b w:val="0"/>
          <w:bCs w:val="0"/>
          <w:i w:val="0"/>
          <w:color w:val="000000"/>
          <w:spacing w:val="3"/>
          <w:sz w:val="24"/>
        </w:rPr>
        <w:t xml:space="preserve"> тыс. руб., что ниже уровня 20</w:t>
      </w:r>
      <w:r w:rsidR="00C66D11">
        <w:rPr>
          <w:b w:val="0"/>
          <w:bCs w:val="0"/>
          <w:i w:val="0"/>
          <w:color w:val="000000"/>
          <w:spacing w:val="3"/>
          <w:sz w:val="24"/>
        </w:rPr>
        <w:t>20</w:t>
      </w:r>
      <w:r>
        <w:rPr>
          <w:b w:val="0"/>
          <w:bCs w:val="0"/>
          <w:i w:val="0"/>
          <w:color w:val="000000"/>
          <w:spacing w:val="3"/>
          <w:sz w:val="24"/>
        </w:rPr>
        <w:t xml:space="preserve"> года (оценка исполнения </w:t>
      </w:r>
      <w:r w:rsidR="006C441B">
        <w:rPr>
          <w:b w:val="0"/>
          <w:bCs w:val="0"/>
          <w:i w:val="0"/>
          <w:color w:val="000000"/>
          <w:spacing w:val="3"/>
          <w:sz w:val="24"/>
        </w:rPr>
        <w:t>7939,6</w:t>
      </w:r>
      <w:r>
        <w:rPr>
          <w:b w:val="0"/>
          <w:bCs w:val="0"/>
          <w:i w:val="0"/>
          <w:color w:val="000000"/>
          <w:spacing w:val="3"/>
          <w:sz w:val="24"/>
        </w:rPr>
        <w:t xml:space="preserve"> тыс.руб.) на сумму </w:t>
      </w:r>
      <w:r w:rsidR="006C441B">
        <w:rPr>
          <w:b w:val="0"/>
          <w:bCs w:val="0"/>
          <w:i w:val="0"/>
          <w:color w:val="000000"/>
          <w:spacing w:val="3"/>
          <w:sz w:val="24"/>
        </w:rPr>
        <w:t>1633,1</w:t>
      </w:r>
      <w:r>
        <w:rPr>
          <w:b w:val="0"/>
          <w:bCs w:val="0"/>
          <w:i w:val="0"/>
          <w:color w:val="000000"/>
          <w:spacing w:val="3"/>
          <w:sz w:val="24"/>
        </w:rPr>
        <w:t xml:space="preserve"> тыс. руб. (-</w:t>
      </w:r>
      <w:r w:rsidR="006C441B">
        <w:rPr>
          <w:b w:val="0"/>
          <w:bCs w:val="0"/>
          <w:i w:val="0"/>
          <w:color w:val="000000"/>
          <w:spacing w:val="3"/>
          <w:sz w:val="24"/>
        </w:rPr>
        <w:t>20,6</w:t>
      </w:r>
      <w:r>
        <w:rPr>
          <w:b w:val="0"/>
          <w:bCs w:val="0"/>
          <w:i w:val="0"/>
          <w:color w:val="000000"/>
          <w:spacing w:val="3"/>
          <w:sz w:val="24"/>
        </w:rPr>
        <w:t>%); на 202</w:t>
      </w:r>
      <w:r w:rsidR="00C66D11">
        <w:rPr>
          <w:b w:val="0"/>
          <w:bCs w:val="0"/>
          <w:i w:val="0"/>
          <w:color w:val="000000"/>
          <w:spacing w:val="3"/>
          <w:sz w:val="24"/>
        </w:rPr>
        <w:t>2</w:t>
      </w:r>
      <w:r>
        <w:rPr>
          <w:b w:val="0"/>
          <w:bCs w:val="0"/>
          <w:i w:val="0"/>
          <w:color w:val="000000"/>
          <w:spacing w:val="3"/>
          <w:sz w:val="24"/>
        </w:rPr>
        <w:t xml:space="preserve"> год в сумме </w:t>
      </w:r>
      <w:r w:rsidR="006C441B">
        <w:rPr>
          <w:b w:val="0"/>
          <w:bCs w:val="0"/>
          <w:i w:val="0"/>
          <w:color w:val="000000"/>
          <w:spacing w:val="3"/>
          <w:sz w:val="24"/>
        </w:rPr>
        <w:t>6034,9</w:t>
      </w:r>
      <w:r>
        <w:rPr>
          <w:b w:val="0"/>
          <w:bCs w:val="0"/>
          <w:i w:val="0"/>
          <w:color w:val="000000"/>
          <w:spacing w:val="3"/>
          <w:sz w:val="24"/>
        </w:rPr>
        <w:t xml:space="preserve"> тыс. руб.</w:t>
      </w:r>
      <w:r w:rsidR="00C66D11">
        <w:rPr>
          <w:b w:val="0"/>
          <w:bCs w:val="0"/>
          <w:i w:val="0"/>
          <w:color w:val="000000"/>
          <w:spacing w:val="3"/>
          <w:sz w:val="24"/>
        </w:rPr>
        <w:t xml:space="preserve"> </w:t>
      </w:r>
      <w:r w:rsidR="00C66D11" w:rsidRPr="00C66D11">
        <w:rPr>
          <w:b w:val="0"/>
          <w:bCs w:val="0"/>
          <w:i w:val="0"/>
          <w:color w:val="000000"/>
          <w:spacing w:val="3"/>
          <w:sz w:val="24"/>
        </w:rPr>
        <w:t>(</w:t>
      </w:r>
      <w:r w:rsidR="00C66D11" w:rsidRPr="00F2337E">
        <w:rPr>
          <w:b w:val="0"/>
          <w:i w:val="0"/>
          <w:sz w:val="24"/>
        </w:rPr>
        <w:t xml:space="preserve">в том числе условно утвержденные расходы в сумме </w:t>
      </w:r>
      <w:r w:rsidR="006C441B">
        <w:rPr>
          <w:b w:val="0"/>
          <w:i w:val="0"/>
          <w:sz w:val="24"/>
        </w:rPr>
        <w:t>122,9</w:t>
      </w:r>
      <w:r w:rsidR="00C66D11" w:rsidRPr="00F2337E">
        <w:rPr>
          <w:b w:val="0"/>
          <w:i w:val="0"/>
          <w:sz w:val="24"/>
        </w:rPr>
        <w:t xml:space="preserve"> тыс. руб.)</w:t>
      </w:r>
      <w:r w:rsidRPr="00F2337E">
        <w:rPr>
          <w:b w:val="0"/>
          <w:bCs w:val="0"/>
          <w:i w:val="0"/>
          <w:color w:val="000000"/>
          <w:spacing w:val="3"/>
          <w:sz w:val="24"/>
        </w:rPr>
        <w:t>, со снижением к 202</w:t>
      </w:r>
      <w:r w:rsidR="00C66D11" w:rsidRPr="00F2337E">
        <w:rPr>
          <w:b w:val="0"/>
          <w:bCs w:val="0"/>
          <w:i w:val="0"/>
          <w:color w:val="000000"/>
          <w:spacing w:val="3"/>
          <w:sz w:val="24"/>
        </w:rPr>
        <w:t>1</w:t>
      </w:r>
      <w:r w:rsidRPr="00F2337E">
        <w:rPr>
          <w:b w:val="0"/>
          <w:bCs w:val="0"/>
          <w:i w:val="0"/>
          <w:color w:val="000000"/>
          <w:spacing w:val="3"/>
          <w:sz w:val="24"/>
        </w:rPr>
        <w:t xml:space="preserve"> году на </w:t>
      </w:r>
      <w:r w:rsidR="006C441B">
        <w:rPr>
          <w:b w:val="0"/>
          <w:bCs w:val="0"/>
          <w:i w:val="0"/>
          <w:color w:val="000000"/>
          <w:spacing w:val="3"/>
          <w:sz w:val="24"/>
        </w:rPr>
        <w:t>271,6</w:t>
      </w:r>
      <w:r w:rsidRPr="00F2337E">
        <w:rPr>
          <w:b w:val="0"/>
          <w:bCs w:val="0"/>
          <w:i w:val="0"/>
          <w:color w:val="000000"/>
          <w:spacing w:val="3"/>
          <w:sz w:val="24"/>
        </w:rPr>
        <w:t xml:space="preserve"> тыс. руб. (-</w:t>
      </w:r>
      <w:r w:rsidR="006C441B">
        <w:rPr>
          <w:b w:val="0"/>
          <w:bCs w:val="0"/>
          <w:i w:val="0"/>
          <w:color w:val="000000"/>
          <w:spacing w:val="3"/>
          <w:sz w:val="24"/>
        </w:rPr>
        <w:t>4,3</w:t>
      </w:r>
      <w:r w:rsidRPr="00F2337E">
        <w:rPr>
          <w:b w:val="0"/>
          <w:bCs w:val="0"/>
          <w:i w:val="0"/>
          <w:color w:val="000000"/>
          <w:spacing w:val="3"/>
          <w:sz w:val="24"/>
        </w:rPr>
        <w:t>%), на 202</w:t>
      </w:r>
      <w:r w:rsidR="00C66D11" w:rsidRPr="00F2337E">
        <w:rPr>
          <w:b w:val="0"/>
          <w:bCs w:val="0"/>
          <w:i w:val="0"/>
          <w:color w:val="000000"/>
          <w:spacing w:val="3"/>
          <w:sz w:val="24"/>
        </w:rPr>
        <w:t>3</w:t>
      </w:r>
      <w:r w:rsidRPr="00F2337E">
        <w:rPr>
          <w:b w:val="0"/>
          <w:bCs w:val="0"/>
          <w:i w:val="0"/>
          <w:color w:val="000000"/>
          <w:spacing w:val="3"/>
          <w:sz w:val="24"/>
        </w:rPr>
        <w:t xml:space="preserve"> год – </w:t>
      </w:r>
      <w:r w:rsidR="006C441B">
        <w:rPr>
          <w:b w:val="0"/>
          <w:bCs w:val="0"/>
          <w:i w:val="0"/>
          <w:color w:val="000000"/>
          <w:spacing w:val="3"/>
          <w:sz w:val="24"/>
        </w:rPr>
        <w:t>5914,9</w:t>
      </w:r>
      <w:r w:rsidRPr="00F2337E">
        <w:rPr>
          <w:b w:val="0"/>
          <w:bCs w:val="0"/>
          <w:i w:val="0"/>
          <w:color w:val="000000"/>
          <w:spacing w:val="3"/>
          <w:sz w:val="24"/>
        </w:rPr>
        <w:t xml:space="preserve"> тыс. руб.</w:t>
      </w:r>
      <w:r w:rsidR="00C66D11" w:rsidRPr="00F2337E">
        <w:rPr>
          <w:b w:val="0"/>
          <w:bCs w:val="0"/>
          <w:i w:val="0"/>
          <w:color w:val="000000"/>
          <w:spacing w:val="3"/>
          <w:sz w:val="24"/>
        </w:rPr>
        <w:t xml:space="preserve"> (</w:t>
      </w:r>
      <w:r w:rsidR="00C66D11" w:rsidRPr="00F2337E">
        <w:rPr>
          <w:b w:val="0"/>
          <w:i w:val="0"/>
          <w:sz w:val="24"/>
        </w:rPr>
        <w:t xml:space="preserve">в том числе условно утвержденные расходы в сумме </w:t>
      </w:r>
      <w:r w:rsidR="006C441B">
        <w:rPr>
          <w:b w:val="0"/>
          <w:i w:val="0"/>
          <w:sz w:val="24"/>
        </w:rPr>
        <w:t>242,6</w:t>
      </w:r>
      <w:r w:rsidR="00C66D11" w:rsidRPr="00F2337E">
        <w:rPr>
          <w:b w:val="0"/>
          <w:i w:val="0"/>
          <w:sz w:val="24"/>
        </w:rPr>
        <w:t xml:space="preserve"> тыс. рублей),</w:t>
      </w:r>
      <w:r w:rsidR="00C66D11" w:rsidRPr="00F2337E">
        <w:rPr>
          <w:b w:val="0"/>
          <w:bCs w:val="0"/>
          <w:i w:val="0"/>
          <w:color w:val="000000"/>
          <w:spacing w:val="3"/>
          <w:sz w:val="24"/>
        </w:rPr>
        <w:t xml:space="preserve"> </w:t>
      </w:r>
      <w:r w:rsidRPr="00F2337E">
        <w:rPr>
          <w:b w:val="0"/>
          <w:bCs w:val="0"/>
          <w:i w:val="0"/>
          <w:color w:val="000000"/>
          <w:spacing w:val="3"/>
          <w:sz w:val="24"/>
        </w:rPr>
        <w:t>со снижением к 202</w:t>
      </w:r>
      <w:r w:rsidR="00C66D11" w:rsidRPr="00F2337E">
        <w:rPr>
          <w:b w:val="0"/>
          <w:bCs w:val="0"/>
          <w:i w:val="0"/>
          <w:color w:val="000000"/>
          <w:spacing w:val="3"/>
          <w:sz w:val="24"/>
        </w:rPr>
        <w:t>2</w:t>
      </w:r>
      <w:r w:rsidRPr="00F2337E">
        <w:rPr>
          <w:b w:val="0"/>
          <w:bCs w:val="0"/>
          <w:i w:val="0"/>
          <w:color w:val="000000"/>
          <w:spacing w:val="3"/>
          <w:sz w:val="24"/>
        </w:rPr>
        <w:t xml:space="preserve">г. на </w:t>
      </w:r>
      <w:r w:rsidR="006C441B">
        <w:rPr>
          <w:b w:val="0"/>
          <w:bCs w:val="0"/>
          <w:i w:val="0"/>
          <w:color w:val="000000"/>
          <w:spacing w:val="3"/>
          <w:sz w:val="24"/>
        </w:rPr>
        <w:t>120</w:t>
      </w:r>
      <w:r w:rsidRPr="00F2337E">
        <w:rPr>
          <w:b w:val="0"/>
          <w:bCs w:val="0"/>
          <w:i w:val="0"/>
          <w:color w:val="000000"/>
          <w:spacing w:val="3"/>
          <w:sz w:val="24"/>
        </w:rPr>
        <w:t xml:space="preserve"> тыс. руб. (-</w:t>
      </w:r>
      <w:r w:rsidR="00990E1E">
        <w:rPr>
          <w:b w:val="0"/>
          <w:bCs w:val="0"/>
          <w:i w:val="0"/>
          <w:color w:val="000000"/>
          <w:spacing w:val="3"/>
          <w:sz w:val="24"/>
        </w:rPr>
        <w:t>2</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03346E"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A74787" w:rsidRPr="002A072A" w:rsidTr="00A74787">
        <w:tc>
          <w:tcPr>
            <w:tcW w:w="3391" w:type="dxa"/>
          </w:tcPr>
          <w:p w:rsidR="00A74787" w:rsidRPr="00883B52" w:rsidRDefault="00A74787"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A74787" w:rsidRPr="00601AE1" w:rsidRDefault="00A74787" w:rsidP="006D30B0">
            <w:pPr>
              <w:widowControl w:val="0"/>
              <w:numPr>
                <w:ilvl w:val="12"/>
                <w:numId w:val="0"/>
              </w:numPr>
              <w:jc w:val="center"/>
              <w:rPr>
                <w:b/>
                <w:sz w:val="16"/>
                <w:szCs w:val="16"/>
              </w:rPr>
            </w:pPr>
            <w:r>
              <w:rPr>
                <w:b/>
                <w:sz w:val="16"/>
                <w:szCs w:val="16"/>
              </w:rPr>
              <w:t>7939,6</w:t>
            </w:r>
          </w:p>
        </w:tc>
        <w:tc>
          <w:tcPr>
            <w:tcW w:w="1153" w:type="dxa"/>
            <w:vAlign w:val="center"/>
          </w:tcPr>
          <w:p w:rsidR="00A74787" w:rsidRPr="00601AE1" w:rsidRDefault="00A74787" w:rsidP="006D30B0">
            <w:pPr>
              <w:widowControl w:val="0"/>
              <w:numPr>
                <w:ilvl w:val="12"/>
                <w:numId w:val="0"/>
              </w:numPr>
              <w:jc w:val="center"/>
              <w:rPr>
                <w:b/>
                <w:sz w:val="16"/>
                <w:szCs w:val="16"/>
              </w:rPr>
            </w:pPr>
            <w:r>
              <w:rPr>
                <w:b/>
                <w:sz w:val="16"/>
                <w:szCs w:val="16"/>
              </w:rPr>
              <w:t>6306,5</w:t>
            </w:r>
          </w:p>
        </w:tc>
        <w:tc>
          <w:tcPr>
            <w:tcW w:w="1153" w:type="dxa"/>
            <w:vAlign w:val="center"/>
          </w:tcPr>
          <w:p w:rsidR="00A74787" w:rsidRPr="00A74787" w:rsidRDefault="00A74787" w:rsidP="00A74787">
            <w:pPr>
              <w:jc w:val="center"/>
              <w:rPr>
                <w:b/>
                <w:sz w:val="16"/>
                <w:szCs w:val="16"/>
              </w:rPr>
            </w:pPr>
            <w:r w:rsidRPr="00A74787">
              <w:rPr>
                <w:b/>
                <w:sz w:val="16"/>
                <w:szCs w:val="16"/>
              </w:rPr>
              <w:t>-1633,1</w:t>
            </w:r>
          </w:p>
        </w:tc>
        <w:tc>
          <w:tcPr>
            <w:tcW w:w="956" w:type="dxa"/>
            <w:vAlign w:val="center"/>
          </w:tcPr>
          <w:p w:rsidR="00A74787" w:rsidRPr="00A74787" w:rsidRDefault="00A74787" w:rsidP="00A74787">
            <w:pPr>
              <w:jc w:val="center"/>
              <w:rPr>
                <w:b/>
                <w:sz w:val="16"/>
                <w:szCs w:val="16"/>
              </w:rPr>
            </w:pPr>
            <w:r w:rsidRPr="00A74787">
              <w:rPr>
                <w:b/>
                <w:sz w:val="16"/>
                <w:szCs w:val="16"/>
              </w:rPr>
              <w:t>79,4</w:t>
            </w:r>
          </w:p>
        </w:tc>
        <w:tc>
          <w:tcPr>
            <w:tcW w:w="1039" w:type="dxa"/>
            <w:vAlign w:val="center"/>
          </w:tcPr>
          <w:p w:rsidR="00A74787" w:rsidRPr="00832FBF" w:rsidRDefault="00A74787" w:rsidP="00E85B1E">
            <w:pPr>
              <w:widowControl w:val="0"/>
              <w:numPr>
                <w:ilvl w:val="12"/>
                <w:numId w:val="0"/>
              </w:numPr>
              <w:jc w:val="center"/>
              <w:rPr>
                <w:b/>
                <w:sz w:val="16"/>
                <w:szCs w:val="16"/>
              </w:rPr>
            </w:pPr>
            <w:r>
              <w:rPr>
                <w:b/>
                <w:sz w:val="16"/>
                <w:szCs w:val="16"/>
              </w:rPr>
              <w:t>5912</w:t>
            </w:r>
          </w:p>
        </w:tc>
        <w:tc>
          <w:tcPr>
            <w:tcW w:w="1039" w:type="dxa"/>
            <w:vAlign w:val="center"/>
          </w:tcPr>
          <w:p w:rsidR="00A74787" w:rsidRPr="00832FBF" w:rsidRDefault="00A74787" w:rsidP="00DB5C6B">
            <w:pPr>
              <w:widowControl w:val="0"/>
              <w:numPr>
                <w:ilvl w:val="12"/>
                <w:numId w:val="0"/>
              </w:numPr>
              <w:jc w:val="center"/>
              <w:rPr>
                <w:b/>
                <w:sz w:val="16"/>
                <w:szCs w:val="16"/>
              </w:rPr>
            </w:pPr>
            <w:r>
              <w:rPr>
                <w:b/>
                <w:sz w:val="16"/>
                <w:szCs w:val="16"/>
              </w:rPr>
              <w:t>5672,3</w:t>
            </w:r>
          </w:p>
        </w:tc>
      </w:tr>
      <w:tr w:rsidR="00A74787" w:rsidRPr="002A072A" w:rsidTr="00A74787">
        <w:tc>
          <w:tcPr>
            <w:tcW w:w="3391" w:type="dxa"/>
          </w:tcPr>
          <w:p w:rsidR="00A74787" w:rsidRPr="00832FBF" w:rsidRDefault="00A74787"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A74787" w:rsidRPr="00601AE1" w:rsidRDefault="00A74787" w:rsidP="006D30B0">
            <w:pPr>
              <w:widowControl w:val="0"/>
              <w:numPr>
                <w:ilvl w:val="12"/>
                <w:numId w:val="0"/>
              </w:numPr>
              <w:jc w:val="center"/>
              <w:rPr>
                <w:b/>
                <w:sz w:val="16"/>
                <w:szCs w:val="16"/>
              </w:rPr>
            </w:pPr>
            <w:r>
              <w:rPr>
                <w:b/>
                <w:sz w:val="16"/>
                <w:szCs w:val="16"/>
              </w:rPr>
              <w:t>3402,3</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2917,2</w:t>
            </w:r>
          </w:p>
        </w:tc>
        <w:tc>
          <w:tcPr>
            <w:tcW w:w="1153" w:type="dxa"/>
            <w:vAlign w:val="center"/>
          </w:tcPr>
          <w:p w:rsidR="00A74787" w:rsidRPr="00A74787" w:rsidRDefault="00A74787" w:rsidP="00A74787">
            <w:pPr>
              <w:jc w:val="center"/>
              <w:rPr>
                <w:b/>
                <w:sz w:val="16"/>
                <w:szCs w:val="16"/>
              </w:rPr>
            </w:pPr>
            <w:r w:rsidRPr="00A74787">
              <w:rPr>
                <w:b/>
                <w:sz w:val="16"/>
                <w:szCs w:val="16"/>
              </w:rPr>
              <w:t>-485,1</w:t>
            </w:r>
          </w:p>
        </w:tc>
        <w:tc>
          <w:tcPr>
            <w:tcW w:w="956" w:type="dxa"/>
            <w:vAlign w:val="center"/>
          </w:tcPr>
          <w:p w:rsidR="00A74787" w:rsidRPr="00A74787" w:rsidRDefault="00A74787" w:rsidP="00A74787">
            <w:pPr>
              <w:jc w:val="center"/>
              <w:rPr>
                <w:b/>
                <w:sz w:val="16"/>
                <w:szCs w:val="16"/>
              </w:rPr>
            </w:pPr>
            <w:r w:rsidRPr="00A74787">
              <w:rPr>
                <w:b/>
                <w:sz w:val="16"/>
                <w:szCs w:val="16"/>
              </w:rPr>
              <w:t>85,7</w:t>
            </w:r>
          </w:p>
        </w:tc>
        <w:tc>
          <w:tcPr>
            <w:tcW w:w="1039" w:type="dxa"/>
            <w:vAlign w:val="center"/>
          </w:tcPr>
          <w:p w:rsidR="00A74787" w:rsidRPr="00832FBF" w:rsidRDefault="00A74787" w:rsidP="00DB5C6B">
            <w:pPr>
              <w:widowControl w:val="0"/>
              <w:numPr>
                <w:ilvl w:val="12"/>
                <w:numId w:val="0"/>
              </w:numPr>
              <w:jc w:val="center"/>
              <w:rPr>
                <w:b/>
                <w:sz w:val="16"/>
                <w:szCs w:val="16"/>
              </w:rPr>
            </w:pPr>
            <w:r>
              <w:rPr>
                <w:b/>
                <w:sz w:val="16"/>
                <w:szCs w:val="16"/>
              </w:rPr>
              <w:t>2669,2</w:t>
            </w:r>
          </w:p>
        </w:tc>
        <w:tc>
          <w:tcPr>
            <w:tcW w:w="1039" w:type="dxa"/>
            <w:vAlign w:val="center"/>
          </w:tcPr>
          <w:p w:rsidR="00A74787" w:rsidRPr="00832FBF" w:rsidRDefault="00A74787" w:rsidP="00DB5C6B">
            <w:pPr>
              <w:widowControl w:val="0"/>
              <w:numPr>
                <w:ilvl w:val="12"/>
                <w:numId w:val="0"/>
              </w:numPr>
              <w:jc w:val="center"/>
              <w:rPr>
                <w:b/>
                <w:sz w:val="16"/>
                <w:szCs w:val="16"/>
              </w:rPr>
            </w:pPr>
            <w:r>
              <w:rPr>
                <w:b/>
                <w:sz w:val="16"/>
                <w:szCs w:val="16"/>
              </w:rPr>
              <w:t>2482,9</w:t>
            </w:r>
          </w:p>
        </w:tc>
      </w:tr>
      <w:tr w:rsidR="00A74787" w:rsidRPr="002A072A" w:rsidTr="00A74787">
        <w:tc>
          <w:tcPr>
            <w:tcW w:w="3391" w:type="dxa"/>
          </w:tcPr>
          <w:p w:rsidR="00A74787" w:rsidRPr="001E0253" w:rsidRDefault="00A74787"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837,4</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775,9</w:t>
            </w:r>
          </w:p>
        </w:tc>
        <w:tc>
          <w:tcPr>
            <w:tcW w:w="1153" w:type="dxa"/>
            <w:vAlign w:val="center"/>
          </w:tcPr>
          <w:p w:rsidR="00A74787" w:rsidRPr="00A74787" w:rsidRDefault="00A74787" w:rsidP="00A74787">
            <w:pPr>
              <w:jc w:val="center"/>
              <w:rPr>
                <w:sz w:val="16"/>
                <w:szCs w:val="16"/>
              </w:rPr>
            </w:pPr>
            <w:r w:rsidRPr="00A74787">
              <w:rPr>
                <w:sz w:val="16"/>
                <w:szCs w:val="16"/>
              </w:rPr>
              <w:t>-61,5</w:t>
            </w:r>
          </w:p>
        </w:tc>
        <w:tc>
          <w:tcPr>
            <w:tcW w:w="956" w:type="dxa"/>
            <w:vAlign w:val="center"/>
          </w:tcPr>
          <w:p w:rsidR="00A74787" w:rsidRPr="00A74787" w:rsidRDefault="00A74787" w:rsidP="00A74787">
            <w:pPr>
              <w:jc w:val="center"/>
              <w:rPr>
                <w:sz w:val="16"/>
                <w:szCs w:val="16"/>
              </w:rPr>
            </w:pPr>
            <w:r w:rsidRPr="00A74787">
              <w:rPr>
                <w:sz w:val="16"/>
                <w:szCs w:val="16"/>
              </w:rPr>
              <w:t>92,7</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666,7</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628,1</w:t>
            </w:r>
          </w:p>
        </w:tc>
      </w:tr>
      <w:tr w:rsidR="00A74787" w:rsidRPr="002A072A" w:rsidTr="00A74787">
        <w:tc>
          <w:tcPr>
            <w:tcW w:w="3391" w:type="dxa"/>
          </w:tcPr>
          <w:p w:rsidR="00A74787" w:rsidRPr="001E0253" w:rsidRDefault="00A74787"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1</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1</w:t>
            </w:r>
          </w:p>
        </w:tc>
        <w:tc>
          <w:tcPr>
            <w:tcW w:w="1153" w:type="dxa"/>
            <w:vAlign w:val="center"/>
          </w:tcPr>
          <w:p w:rsidR="00A74787" w:rsidRPr="00A74787" w:rsidRDefault="00A74787" w:rsidP="00A74787">
            <w:pPr>
              <w:jc w:val="center"/>
              <w:rPr>
                <w:sz w:val="16"/>
                <w:szCs w:val="16"/>
              </w:rPr>
            </w:pPr>
            <w:r w:rsidRPr="00A74787">
              <w:rPr>
                <w:sz w:val="16"/>
                <w:szCs w:val="16"/>
              </w:rPr>
              <w:t>0</w:t>
            </w:r>
          </w:p>
        </w:tc>
        <w:tc>
          <w:tcPr>
            <w:tcW w:w="956" w:type="dxa"/>
            <w:vAlign w:val="center"/>
          </w:tcPr>
          <w:p w:rsidR="00A74787" w:rsidRPr="00A74787" w:rsidRDefault="00A74787" w:rsidP="00A74787">
            <w:pPr>
              <w:jc w:val="center"/>
              <w:rPr>
                <w:sz w:val="16"/>
                <w:szCs w:val="16"/>
              </w:rPr>
            </w:pPr>
            <w:r w:rsidRPr="00A74787">
              <w:rPr>
                <w:sz w:val="16"/>
                <w:szCs w:val="16"/>
              </w:rPr>
              <w:t>100,0</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1</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1</w:t>
            </w:r>
          </w:p>
        </w:tc>
      </w:tr>
      <w:tr w:rsidR="00A74787" w:rsidRPr="002A072A" w:rsidTr="00A74787">
        <w:tc>
          <w:tcPr>
            <w:tcW w:w="3391" w:type="dxa"/>
          </w:tcPr>
          <w:p w:rsidR="00A74787" w:rsidRPr="001E0253" w:rsidRDefault="00A74787"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2558,2</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2134,6</w:t>
            </w:r>
          </w:p>
        </w:tc>
        <w:tc>
          <w:tcPr>
            <w:tcW w:w="1153" w:type="dxa"/>
            <w:vAlign w:val="center"/>
          </w:tcPr>
          <w:p w:rsidR="00A74787" w:rsidRPr="00A74787" w:rsidRDefault="00A74787" w:rsidP="00A74787">
            <w:pPr>
              <w:jc w:val="center"/>
              <w:rPr>
                <w:sz w:val="16"/>
                <w:szCs w:val="16"/>
              </w:rPr>
            </w:pPr>
            <w:r w:rsidRPr="00A74787">
              <w:rPr>
                <w:sz w:val="16"/>
                <w:szCs w:val="16"/>
              </w:rPr>
              <w:t>-423,6</w:t>
            </w:r>
          </w:p>
        </w:tc>
        <w:tc>
          <w:tcPr>
            <w:tcW w:w="956" w:type="dxa"/>
            <w:vAlign w:val="center"/>
          </w:tcPr>
          <w:p w:rsidR="00A74787" w:rsidRPr="00A74787" w:rsidRDefault="00A74787" w:rsidP="00A74787">
            <w:pPr>
              <w:jc w:val="center"/>
              <w:rPr>
                <w:sz w:val="16"/>
                <w:szCs w:val="16"/>
              </w:rPr>
            </w:pPr>
            <w:r w:rsidRPr="00A74787">
              <w:rPr>
                <w:sz w:val="16"/>
                <w:szCs w:val="16"/>
              </w:rPr>
              <w:t>83,4</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1845,8</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1848,1</w:t>
            </w:r>
          </w:p>
        </w:tc>
      </w:tr>
      <w:tr w:rsidR="00A74787" w:rsidRPr="002A072A" w:rsidTr="00A74787">
        <w:tc>
          <w:tcPr>
            <w:tcW w:w="3391" w:type="dxa"/>
          </w:tcPr>
          <w:p w:rsidR="00A74787" w:rsidRPr="001E0253" w:rsidRDefault="00A74787"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A74787" w:rsidRDefault="00A74787" w:rsidP="00DB5C6B">
            <w:pPr>
              <w:widowControl w:val="0"/>
              <w:numPr>
                <w:ilvl w:val="12"/>
                <w:numId w:val="0"/>
              </w:numPr>
              <w:jc w:val="center"/>
              <w:rPr>
                <w:sz w:val="16"/>
                <w:szCs w:val="16"/>
              </w:rPr>
            </w:pPr>
            <w:r>
              <w:rPr>
                <w:sz w:val="16"/>
                <w:szCs w:val="16"/>
              </w:rPr>
              <w:t>0,0</w:t>
            </w:r>
          </w:p>
        </w:tc>
        <w:tc>
          <w:tcPr>
            <w:tcW w:w="1153" w:type="dxa"/>
            <w:vAlign w:val="center"/>
          </w:tcPr>
          <w:p w:rsidR="00A74787" w:rsidRDefault="00A74787" w:rsidP="00DB5C6B">
            <w:pPr>
              <w:widowControl w:val="0"/>
              <w:numPr>
                <w:ilvl w:val="12"/>
                <w:numId w:val="0"/>
              </w:numPr>
              <w:jc w:val="center"/>
              <w:rPr>
                <w:sz w:val="16"/>
                <w:szCs w:val="16"/>
              </w:rPr>
            </w:pPr>
            <w:r>
              <w:rPr>
                <w:sz w:val="16"/>
                <w:szCs w:val="16"/>
              </w:rPr>
              <w:t>0,0</w:t>
            </w:r>
          </w:p>
        </w:tc>
        <w:tc>
          <w:tcPr>
            <w:tcW w:w="1153" w:type="dxa"/>
            <w:vAlign w:val="center"/>
          </w:tcPr>
          <w:p w:rsidR="00A74787" w:rsidRPr="00A74787" w:rsidRDefault="00A74787" w:rsidP="00A74787">
            <w:pPr>
              <w:jc w:val="center"/>
              <w:rPr>
                <w:sz w:val="16"/>
                <w:szCs w:val="16"/>
              </w:rPr>
            </w:pPr>
            <w:r w:rsidRPr="00A74787">
              <w:rPr>
                <w:sz w:val="16"/>
                <w:szCs w:val="16"/>
              </w:rPr>
              <w:t>0</w:t>
            </w:r>
          </w:p>
        </w:tc>
        <w:tc>
          <w:tcPr>
            <w:tcW w:w="956" w:type="dxa"/>
            <w:vAlign w:val="center"/>
          </w:tcPr>
          <w:p w:rsidR="00A74787" w:rsidRPr="00A74787" w:rsidRDefault="00A74787" w:rsidP="00A74787">
            <w:pPr>
              <w:jc w:val="center"/>
              <w:rPr>
                <w:sz w:val="16"/>
                <w:szCs w:val="16"/>
              </w:rPr>
            </w:pPr>
            <w:r w:rsidRPr="00A74787">
              <w:rPr>
                <w:sz w:val="16"/>
                <w:szCs w:val="16"/>
              </w:rPr>
              <w:t>0,0</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150</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0,0</w:t>
            </w:r>
          </w:p>
        </w:tc>
      </w:tr>
      <w:tr w:rsidR="00A74787" w:rsidRPr="002A072A" w:rsidTr="00A74787">
        <w:tc>
          <w:tcPr>
            <w:tcW w:w="3391" w:type="dxa"/>
          </w:tcPr>
          <w:p w:rsidR="00A74787" w:rsidRPr="00883B52" w:rsidRDefault="00A74787" w:rsidP="006D30B0">
            <w:pPr>
              <w:widowControl w:val="0"/>
              <w:rPr>
                <w:sz w:val="16"/>
                <w:szCs w:val="16"/>
              </w:rPr>
            </w:pPr>
            <w:r w:rsidRPr="00883B52">
              <w:rPr>
                <w:sz w:val="16"/>
                <w:szCs w:val="16"/>
              </w:rPr>
              <w:t>Резервный фонд (0111)</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5</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5</w:t>
            </w:r>
          </w:p>
        </w:tc>
        <w:tc>
          <w:tcPr>
            <w:tcW w:w="1153" w:type="dxa"/>
            <w:vAlign w:val="center"/>
          </w:tcPr>
          <w:p w:rsidR="00A74787" w:rsidRPr="00A74787" w:rsidRDefault="00A74787" w:rsidP="00A74787">
            <w:pPr>
              <w:jc w:val="center"/>
              <w:rPr>
                <w:sz w:val="16"/>
                <w:szCs w:val="16"/>
              </w:rPr>
            </w:pPr>
            <w:r w:rsidRPr="00A74787">
              <w:rPr>
                <w:sz w:val="16"/>
                <w:szCs w:val="16"/>
              </w:rPr>
              <w:t>0</w:t>
            </w:r>
          </w:p>
        </w:tc>
        <w:tc>
          <w:tcPr>
            <w:tcW w:w="956" w:type="dxa"/>
            <w:vAlign w:val="center"/>
          </w:tcPr>
          <w:p w:rsidR="00A74787" w:rsidRPr="00A74787" w:rsidRDefault="00A74787" w:rsidP="00A74787">
            <w:pPr>
              <w:jc w:val="center"/>
              <w:rPr>
                <w:sz w:val="16"/>
                <w:szCs w:val="16"/>
              </w:rPr>
            </w:pPr>
            <w:r w:rsidRPr="00A74787">
              <w:rPr>
                <w:sz w:val="16"/>
                <w:szCs w:val="16"/>
              </w:rPr>
              <w:t>100,0</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5</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5</w:t>
            </w:r>
          </w:p>
        </w:tc>
      </w:tr>
      <w:tr w:rsidR="00A74787" w:rsidRPr="002A072A" w:rsidTr="00A74787">
        <w:tc>
          <w:tcPr>
            <w:tcW w:w="3391" w:type="dxa"/>
          </w:tcPr>
          <w:p w:rsidR="00A74787" w:rsidRPr="00883B52" w:rsidRDefault="00A74787"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0,7</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0,7</w:t>
            </w:r>
          </w:p>
        </w:tc>
        <w:tc>
          <w:tcPr>
            <w:tcW w:w="1153" w:type="dxa"/>
            <w:vAlign w:val="center"/>
          </w:tcPr>
          <w:p w:rsidR="00A74787" w:rsidRPr="00A74787" w:rsidRDefault="00A74787" w:rsidP="00A74787">
            <w:pPr>
              <w:jc w:val="center"/>
              <w:rPr>
                <w:sz w:val="16"/>
                <w:szCs w:val="16"/>
              </w:rPr>
            </w:pPr>
            <w:r w:rsidRPr="00A74787">
              <w:rPr>
                <w:sz w:val="16"/>
                <w:szCs w:val="16"/>
              </w:rPr>
              <w:t>0</w:t>
            </w:r>
          </w:p>
        </w:tc>
        <w:tc>
          <w:tcPr>
            <w:tcW w:w="956" w:type="dxa"/>
            <w:vAlign w:val="center"/>
          </w:tcPr>
          <w:p w:rsidR="00A74787" w:rsidRPr="00A74787" w:rsidRDefault="00A74787" w:rsidP="00A74787">
            <w:pPr>
              <w:jc w:val="center"/>
              <w:rPr>
                <w:sz w:val="16"/>
                <w:szCs w:val="16"/>
              </w:rPr>
            </w:pPr>
            <w:r w:rsidRPr="00A74787">
              <w:rPr>
                <w:sz w:val="16"/>
                <w:szCs w:val="16"/>
              </w:rPr>
              <w:t>100,0</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0,7</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0,7</w:t>
            </w:r>
          </w:p>
        </w:tc>
      </w:tr>
      <w:tr w:rsidR="00A74787" w:rsidRPr="002A072A" w:rsidTr="00A74787">
        <w:tc>
          <w:tcPr>
            <w:tcW w:w="3391" w:type="dxa"/>
          </w:tcPr>
          <w:p w:rsidR="00A74787" w:rsidRPr="00883B52" w:rsidRDefault="00A74787"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134,1</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137,3</w:t>
            </w:r>
          </w:p>
        </w:tc>
        <w:tc>
          <w:tcPr>
            <w:tcW w:w="1153" w:type="dxa"/>
            <w:vAlign w:val="center"/>
          </w:tcPr>
          <w:p w:rsidR="00A74787" w:rsidRPr="00A74787" w:rsidRDefault="00A74787" w:rsidP="00A74787">
            <w:pPr>
              <w:jc w:val="center"/>
              <w:rPr>
                <w:b/>
                <w:sz w:val="16"/>
                <w:szCs w:val="16"/>
              </w:rPr>
            </w:pPr>
            <w:r w:rsidRPr="00A74787">
              <w:rPr>
                <w:b/>
                <w:sz w:val="16"/>
                <w:szCs w:val="16"/>
              </w:rPr>
              <w:t>3,2</w:t>
            </w:r>
          </w:p>
        </w:tc>
        <w:tc>
          <w:tcPr>
            <w:tcW w:w="956" w:type="dxa"/>
            <w:vAlign w:val="center"/>
          </w:tcPr>
          <w:p w:rsidR="00A74787" w:rsidRPr="00A74787" w:rsidRDefault="00A74787" w:rsidP="00A74787">
            <w:pPr>
              <w:jc w:val="center"/>
              <w:rPr>
                <w:b/>
                <w:sz w:val="16"/>
                <w:szCs w:val="16"/>
              </w:rPr>
            </w:pPr>
            <w:r w:rsidRPr="00A74787">
              <w:rPr>
                <w:b/>
                <w:sz w:val="16"/>
                <w:szCs w:val="16"/>
              </w:rPr>
              <w:t>102,4</w:t>
            </w:r>
          </w:p>
        </w:tc>
        <w:tc>
          <w:tcPr>
            <w:tcW w:w="1039" w:type="dxa"/>
            <w:vAlign w:val="center"/>
          </w:tcPr>
          <w:p w:rsidR="00A74787" w:rsidRPr="0073485F" w:rsidRDefault="00A74787" w:rsidP="00DB5C6B">
            <w:pPr>
              <w:widowControl w:val="0"/>
              <w:numPr>
                <w:ilvl w:val="12"/>
                <w:numId w:val="0"/>
              </w:numPr>
              <w:jc w:val="center"/>
              <w:rPr>
                <w:b/>
                <w:sz w:val="16"/>
                <w:szCs w:val="16"/>
              </w:rPr>
            </w:pPr>
            <w:r>
              <w:rPr>
                <w:b/>
                <w:sz w:val="16"/>
                <w:szCs w:val="16"/>
              </w:rPr>
              <w:t>138,8</w:t>
            </w:r>
          </w:p>
        </w:tc>
        <w:tc>
          <w:tcPr>
            <w:tcW w:w="1039" w:type="dxa"/>
            <w:vAlign w:val="center"/>
          </w:tcPr>
          <w:p w:rsidR="00A74787" w:rsidRPr="0073485F" w:rsidRDefault="00A74787" w:rsidP="00DB5C6B">
            <w:pPr>
              <w:widowControl w:val="0"/>
              <w:numPr>
                <w:ilvl w:val="12"/>
                <w:numId w:val="0"/>
              </w:numPr>
              <w:jc w:val="center"/>
              <w:rPr>
                <w:b/>
                <w:sz w:val="16"/>
                <w:szCs w:val="16"/>
              </w:rPr>
            </w:pPr>
            <w:r>
              <w:rPr>
                <w:b/>
                <w:sz w:val="16"/>
                <w:szCs w:val="16"/>
              </w:rPr>
              <w:t>144,5</w:t>
            </w:r>
          </w:p>
        </w:tc>
      </w:tr>
      <w:tr w:rsidR="00A74787" w:rsidRPr="002A072A" w:rsidTr="00A74787">
        <w:tc>
          <w:tcPr>
            <w:tcW w:w="3391" w:type="dxa"/>
          </w:tcPr>
          <w:p w:rsidR="00A74787" w:rsidRPr="0073485F" w:rsidRDefault="00A74787"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134,1</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137,3</w:t>
            </w:r>
          </w:p>
        </w:tc>
        <w:tc>
          <w:tcPr>
            <w:tcW w:w="1153" w:type="dxa"/>
            <w:vAlign w:val="center"/>
          </w:tcPr>
          <w:p w:rsidR="00A74787" w:rsidRPr="00A74787" w:rsidRDefault="00A74787" w:rsidP="00A74787">
            <w:pPr>
              <w:jc w:val="center"/>
              <w:rPr>
                <w:sz w:val="16"/>
                <w:szCs w:val="16"/>
              </w:rPr>
            </w:pPr>
            <w:r w:rsidRPr="00A74787">
              <w:rPr>
                <w:sz w:val="16"/>
                <w:szCs w:val="16"/>
              </w:rPr>
              <w:t>3,2</w:t>
            </w:r>
          </w:p>
        </w:tc>
        <w:tc>
          <w:tcPr>
            <w:tcW w:w="956" w:type="dxa"/>
            <w:vAlign w:val="center"/>
          </w:tcPr>
          <w:p w:rsidR="00A74787" w:rsidRPr="00A74787" w:rsidRDefault="00A74787" w:rsidP="00A74787">
            <w:pPr>
              <w:jc w:val="center"/>
              <w:rPr>
                <w:sz w:val="16"/>
                <w:szCs w:val="16"/>
              </w:rPr>
            </w:pPr>
            <w:r w:rsidRPr="00A74787">
              <w:rPr>
                <w:sz w:val="16"/>
                <w:szCs w:val="16"/>
              </w:rPr>
              <w:t>102,4</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138,8</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144,5</w:t>
            </w:r>
          </w:p>
        </w:tc>
      </w:tr>
      <w:tr w:rsidR="00A74787" w:rsidRPr="002A072A" w:rsidTr="00A74787">
        <w:tc>
          <w:tcPr>
            <w:tcW w:w="3391" w:type="dxa"/>
          </w:tcPr>
          <w:p w:rsidR="00A74787" w:rsidRPr="00832FBF" w:rsidRDefault="00A74787"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113,8</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70</w:t>
            </w:r>
          </w:p>
        </w:tc>
        <w:tc>
          <w:tcPr>
            <w:tcW w:w="1153" w:type="dxa"/>
            <w:vAlign w:val="center"/>
          </w:tcPr>
          <w:p w:rsidR="00A74787" w:rsidRPr="00A74787" w:rsidRDefault="00A74787" w:rsidP="00A74787">
            <w:pPr>
              <w:jc w:val="center"/>
              <w:rPr>
                <w:b/>
                <w:sz w:val="16"/>
                <w:szCs w:val="16"/>
              </w:rPr>
            </w:pPr>
            <w:r w:rsidRPr="00A74787">
              <w:rPr>
                <w:b/>
                <w:sz w:val="16"/>
                <w:szCs w:val="16"/>
              </w:rPr>
              <w:t>-43,8</w:t>
            </w:r>
          </w:p>
        </w:tc>
        <w:tc>
          <w:tcPr>
            <w:tcW w:w="956" w:type="dxa"/>
            <w:vAlign w:val="center"/>
          </w:tcPr>
          <w:p w:rsidR="00A74787" w:rsidRPr="00A74787" w:rsidRDefault="00A74787" w:rsidP="00A74787">
            <w:pPr>
              <w:jc w:val="center"/>
              <w:rPr>
                <w:b/>
                <w:sz w:val="16"/>
                <w:szCs w:val="16"/>
              </w:rPr>
            </w:pPr>
            <w:r w:rsidRPr="00A74787">
              <w:rPr>
                <w:b/>
                <w:sz w:val="16"/>
                <w:szCs w:val="16"/>
              </w:rPr>
              <w:t>61,5</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64</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60</w:t>
            </w:r>
          </w:p>
        </w:tc>
      </w:tr>
      <w:tr w:rsidR="00A74787" w:rsidRPr="002A072A" w:rsidTr="00A74787">
        <w:tc>
          <w:tcPr>
            <w:tcW w:w="3391" w:type="dxa"/>
          </w:tcPr>
          <w:p w:rsidR="00A74787" w:rsidRPr="002B6228" w:rsidRDefault="00A74787" w:rsidP="002B6228">
            <w:pPr>
              <w:pStyle w:val="af2"/>
              <w:rPr>
                <w:rFonts w:ascii="Times New Roman" w:hAnsi="Times New Roman" w:cs="Times New Roman"/>
                <w:sz w:val="16"/>
                <w:szCs w:val="16"/>
              </w:rPr>
            </w:pPr>
            <w:r w:rsidRPr="002B622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sz w:val="16"/>
                <w:szCs w:val="16"/>
              </w:rPr>
              <w:t xml:space="preserve"> </w:t>
            </w:r>
            <w:r w:rsidRPr="002B6228">
              <w:rPr>
                <w:rFonts w:ascii="Times New Roman" w:hAnsi="Times New Roman" w:cs="Times New Roman"/>
                <w:sz w:val="16"/>
                <w:szCs w:val="16"/>
              </w:rPr>
              <w:t xml:space="preserve"> (0310)</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113,8</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70</w:t>
            </w:r>
          </w:p>
        </w:tc>
        <w:tc>
          <w:tcPr>
            <w:tcW w:w="1153" w:type="dxa"/>
            <w:vAlign w:val="center"/>
          </w:tcPr>
          <w:p w:rsidR="00A74787" w:rsidRPr="00A74787" w:rsidRDefault="00A74787" w:rsidP="00A74787">
            <w:pPr>
              <w:jc w:val="center"/>
              <w:rPr>
                <w:sz w:val="16"/>
                <w:szCs w:val="16"/>
              </w:rPr>
            </w:pPr>
            <w:r w:rsidRPr="00A74787">
              <w:rPr>
                <w:sz w:val="16"/>
                <w:szCs w:val="16"/>
              </w:rPr>
              <w:t>-43,8</w:t>
            </w:r>
          </w:p>
        </w:tc>
        <w:tc>
          <w:tcPr>
            <w:tcW w:w="956" w:type="dxa"/>
            <w:vAlign w:val="center"/>
          </w:tcPr>
          <w:p w:rsidR="00A74787" w:rsidRPr="00A74787" w:rsidRDefault="00A74787" w:rsidP="00A74787">
            <w:pPr>
              <w:jc w:val="center"/>
              <w:rPr>
                <w:sz w:val="16"/>
                <w:szCs w:val="16"/>
              </w:rPr>
            </w:pPr>
            <w:r w:rsidRPr="00A74787">
              <w:rPr>
                <w:sz w:val="16"/>
                <w:szCs w:val="16"/>
              </w:rPr>
              <w:t>61,5</w:t>
            </w:r>
          </w:p>
        </w:tc>
        <w:tc>
          <w:tcPr>
            <w:tcW w:w="1039" w:type="dxa"/>
            <w:vAlign w:val="center"/>
          </w:tcPr>
          <w:p w:rsidR="00A74787" w:rsidRPr="008C0446" w:rsidRDefault="00A74787" w:rsidP="00BC5359">
            <w:pPr>
              <w:widowControl w:val="0"/>
              <w:numPr>
                <w:ilvl w:val="12"/>
                <w:numId w:val="0"/>
              </w:numPr>
              <w:jc w:val="center"/>
              <w:rPr>
                <w:sz w:val="16"/>
                <w:szCs w:val="16"/>
              </w:rPr>
            </w:pPr>
            <w:r>
              <w:rPr>
                <w:sz w:val="16"/>
                <w:szCs w:val="16"/>
              </w:rPr>
              <w:t>64</w:t>
            </w:r>
          </w:p>
        </w:tc>
        <w:tc>
          <w:tcPr>
            <w:tcW w:w="1039" w:type="dxa"/>
            <w:vAlign w:val="center"/>
          </w:tcPr>
          <w:p w:rsidR="00A74787" w:rsidRPr="008C0446" w:rsidRDefault="00A74787" w:rsidP="00BC5359">
            <w:pPr>
              <w:widowControl w:val="0"/>
              <w:numPr>
                <w:ilvl w:val="12"/>
                <w:numId w:val="0"/>
              </w:numPr>
              <w:jc w:val="center"/>
              <w:rPr>
                <w:sz w:val="16"/>
                <w:szCs w:val="16"/>
              </w:rPr>
            </w:pPr>
            <w:r>
              <w:rPr>
                <w:sz w:val="16"/>
                <w:szCs w:val="16"/>
              </w:rPr>
              <w:t>60</w:t>
            </w:r>
          </w:p>
        </w:tc>
      </w:tr>
      <w:tr w:rsidR="00A74787" w:rsidRPr="002A072A" w:rsidTr="00A74787">
        <w:tc>
          <w:tcPr>
            <w:tcW w:w="3391" w:type="dxa"/>
          </w:tcPr>
          <w:p w:rsidR="00A74787" w:rsidRPr="00DB5C6B" w:rsidRDefault="00A74787"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1132</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370,7</w:t>
            </w:r>
          </w:p>
        </w:tc>
        <w:tc>
          <w:tcPr>
            <w:tcW w:w="1153" w:type="dxa"/>
            <w:vAlign w:val="center"/>
          </w:tcPr>
          <w:p w:rsidR="00A74787" w:rsidRPr="00A74787" w:rsidRDefault="00A74787" w:rsidP="00A74787">
            <w:pPr>
              <w:jc w:val="center"/>
              <w:rPr>
                <w:b/>
                <w:sz w:val="16"/>
                <w:szCs w:val="16"/>
              </w:rPr>
            </w:pPr>
            <w:r w:rsidRPr="00A74787">
              <w:rPr>
                <w:b/>
                <w:sz w:val="16"/>
                <w:szCs w:val="16"/>
              </w:rPr>
              <w:t>-761,3</w:t>
            </w:r>
          </w:p>
        </w:tc>
        <w:tc>
          <w:tcPr>
            <w:tcW w:w="956" w:type="dxa"/>
            <w:vAlign w:val="center"/>
          </w:tcPr>
          <w:p w:rsidR="00A74787" w:rsidRPr="00A74787" w:rsidRDefault="00A74787" w:rsidP="00A74787">
            <w:pPr>
              <w:jc w:val="center"/>
              <w:rPr>
                <w:b/>
                <w:sz w:val="16"/>
                <w:szCs w:val="16"/>
              </w:rPr>
            </w:pPr>
            <w:r w:rsidRPr="00A74787">
              <w:rPr>
                <w:b/>
                <w:sz w:val="16"/>
                <w:szCs w:val="16"/>
              </w:rPr>
              <w:t>32,7</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385,8</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410,7</w:t>
            </w:r>
          </w:p>
        </w:tc>
      </w:tr>
      <w:tr w:rsidR="00A74787" w:rsidRPr="002A072A" w:rsidTr="00A74787">
        <w:tc>
          <w:tcPr>
            <w:tcW w:w="3391" w:type="dxa"/>
          </w:tcPr>
          <w:p w:rsidR="00A74787" w:rsidRPr="00883B52" w:rsidRDefault="00A74787"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912</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370,7</w:t>
            </w:r>
          </w:p>
        </w:tc>
        <w:tc>
          <w:tcPr>
            <w:tcW w:w="1153" w:type="dxa"/>
            <w:vAlign w:val="center"/>
          </w:tcPr>
          <w:p w:rsidR="00A74787" w:rsidRPr="00A74787" w:rsidRDefault="00A74787" w:rsidP="00A74787">
            <w:pPr>
              <w:jc w:val="center"/>
              <w:rPr>
                <w:sz w:val="16"/>
                <w:szCs w:val="16"/>
              </w:rPr>
            </w:pPr>
            <w:r w:rsidRPr="00A74787">
              <w:rPr>
                <w:sz w:val="16"/>
                <w:szCs w:val="16"/>
              </w:rPr>
              <w:t>-541,3</w:t>
            </w:r>
          </w:p>
        </w:tc>
        <w:tc>
          <w:tcPr>
            <w:tcW w:w="956" w:type="dxa"/>
            <w:vAlign w:val="center"/>
          </w:tcPr>
          <w:p w:rsidR="00A74787" w:rsidRPr="00A74787" w:rsidRDefault="00A74787" w:rsidP="00A74787">
            <w:pPr>
              <w:jc w:val="center"/>
              <w:rPr>
                <w:sz w:val="16"/>
                <w:szCs w:val="16"/>
              </w:rPr>
            </w:pPr>
            <w:r w:rsidRPr="00A74787">
              <w:rPr>
                <w:sz w:val="16"/>
                <w:szCs w:val="16"/>
              </w:rPr>
              <w:t>40,6</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385,8</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410,7</w:t>
            </w:r>
          </w:p>
        </w:tc>
      </w:tr>
      <w:tr w:rsidR="00A74787" w:rsidRPr="002A072A" w:rsidTr="00A74787">
        <w:tc>
          <w:tcPr>
            <w:tcW w:w="3391" w:type="dxa"/>
          </w:tcPr>
          <w:p w:rsidR="00A74787" w:rsidRPr="00883B52" w:rsidRDefault="00A74787"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A74787" w:rsidRDefault="00A74787" w:rsidP="00DB5C6B">
            <w:pPr>
              <w:widowControl w:val="0"/>
              <w:numPr>
                <w:ilvl w:val="12"/>
                <w:numId w:val="0"/>
              </w:numPr>
              <w:jc w:val="center"/>
              <w:rPr>
                <w:sz w:val="16"/>
                <w:szCs w:val="16"/>
              </w:rPr>
            </w:pPr>
            <w:r>
              <w:rPr>
                <w:sz w:val="16"/>
                <w:szCs w:val="16"/>
              </w:rPr>
              <w:t>220</w:t>
            </w:r>
          </w:p>
        </w:tc>
        <w:tc>
          <w:tcPr>
            <w:tcW w:w="1153" w:type="dxa"/>
            <w:vAlign w:val="center"/>
          </w:tcPr>
          <w:p w:rsidR="00A74787" w:rsidRDefault="00A74787" w:rsidP="00DB5C6B">
            <w:pPr>
              <w:widowControl w:val="0"/>
              <w:numPr>
                <w:ilvl w:val="12"/>
                <w:numId w:val="0"/>
              </w:numPr>
              <w:jc w:val="center"/>
              <w:rPr>
                <w:sz w:val="16"/>
                <w:szCs w:val="16"/>
              </w:rPr>
            </w:pPr>
            <w:r>
              <w:rPr>
                <w:sz w:val="16"/>
                <w:szCs w:val="16"/>
              </w:rPr>
              <w:t>0,0</w:t>
            </w:r>
          </w:p>
        </w:tc>
        <w:tc>
          <w:tcPr>
            <w:tcW w:w="1153" w:type="dxa"/>
            <w:vAlign w:val="center"/>
          </w:tcPr>
          <w:p w:rsidR="00A74787" w:rsidRPr="00A74787" w:rsidRDefault="00A74787" w:rsidP="00A74787">
            <w:pPr>
              <w:jc w:val="center"/>
              <w:rPr>
                <w:sz w:val="16"/>
                <w:szCs w:val="16"/>
              </w:rPr>
            </w:pPr>
            <w:r w:rsidRPr="00A74787">
              <w:rPr>
                <w:sz w:val="16"/>
                <w:szCs w:val="16"/>
              </w:rPr>
              <w:t>-220</w:t>
            </w:r>
          </w:p>
        </w:tc>
        <w:tc>
          <w:tcPr>
            <w:tcW w:w="956" w:type="dxa"/>
            <w:vAlign w:val="center"/>
          </w:tcPr>
          <w:p w:rsidR="00A74787" w:rsidRPr="00A74787" w:rsidRDefault="00A74787" w:rsidP="00A74787">
            <w:pPr>
              <w:jc w:val="center"/>
              <w:rPr>
                <w:sz w:val="16"/>
                <w:szCs w:val="16"/>
              </w:rPr>
            </w:pPr>
            <w:r w:rsidRPr="00A74787">
              <w:rPr>
                <w:sz w:val="16"/>
                <w:szCs w:val="16"/>
              </w:rPr>
              <w:t>0,0</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0,0</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0,0</w:t>
            </w:r>
          </w:p>
        </w:tc>
      </w:tr>
      <w:tr w:rsidR="00A74787" w:rsidRPr="002A072A" w:rsidTr="00A74787">
        <w:tc>
          <w:tcPr>
            <w:tcW w:w="3391" w:type="dxa"/>
          </w:tcPr>
          <w:p w:rsidR="00A74787" w:rsidRPr="00DB5C6B" w:rsidRDefault="00A74787"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408,9</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202,5</w:t>
            </w:r>
          </w:p>
        </w:tc>
        <w:tc>
          <w:tcPr>
            <w:tcW w:w="1153" w:type="dxa"/>
            <w:vAlign w:val="center"/>
          </w:tcPr>
          <w:p w:rsidR="00A74787" w:rsidRPr="00A74787" w:rsidRDefault="00A74787" w:rsidP="00A74787">
            <w:pPr>
              <w:jc w:val="center"/>
              <w:rPr>
                <w:b/>
                <w:sz w:val="16"/>
                <w:szCs w:val="16"/>
              </w:rPr>
            </w:pPr>
            <w:r w:rsidRPr="00A74787">
              <w:rPr>
                <w:b/>
                <w:sz w:val="16"/>
                <w:szCs w:val="16"/>
              </w:rPr>
              <w:t>-206,4</w:t>
            </w:r>
          </w:p>
        </w:tc>
        <w:tc>
          <w:tcPr>
            <w:tcW w:w="956" w:type="dxa"/>
            <w:vAlign w:val="center"/>
          </w:tcPr>
          <w:p w:rsidR="00A74787" w:rsidRPr="00A74787" w:rsidRDefault="00A74787" w:rsidP="00A74787">
            <w:pPr>
              <w:jc w:val="center"/>
              <w:rPr>
                <w:b/>
                <w:sz w:val="16"/>
                <w:szCs w:val="16"/>
              </w:rPr>
            </w:pPr>
            <w:r w:rsidRPr="00A74787">
              <w:rPr>
                <w:b/>
                <w:sz w:val="16"/>
                <w:szCs w:val="16"/>
              </w:rPr>
              <w:t>49,5</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202,5</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202,5</w:t>
            </w:r>
          </w:p>
        </w:tc>
      </w:tr>
      <w:tr w:rsidR="00A74787" w:rsidRPr="002A072A" w:rsidTr="00A74787">
        <w:tc>
          <w:tcPr>
            <w:tcW w:w="3391" w:type="dxa"/>
          </w:tcPr>
          <w:p w:rsidR="00A74787" w:rsidRPr="00883B52" w:rsidRDefault="00A74787"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408,9</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202,5</w:t>
            </w:r>
          </w:p>
        </w:tc>
        <w:tc>
          <w:tcPr>
            <w:tcW w:w="1153" w:type="dxa"/>
            <w:vAlign w:val="center"/>
          </w:tcPr>
          <w:p w:rsidR="00A74787" w:rsidRPr="00A74787" w:rsidRDefault="00A74787" w:rsidP="00A74787">
            <w:pPr>
              <w:jc w:val="center"/>
              <w:rPr>
                <w:sz w:val="16"/>
                <w:szCs w:val="16"/>
              </w:rPr>
            </w:pPr>
            <w:r w:rsidRPr="00A74787">
              <w:rPr>
                <w:sz w:val="16"/>
                <w:szCs w:val="16"/>
              </w:rPr>
              <w:t>-206,4</w:t>
            </w:r>
          </w:p>
        </w:tc>
        <w:tc>
          <w:tcPr>
            <w:tcW w:w="956" w:type="dxa"/>
            <w:vAlign w:val="center"/>
          </w:tcPr>
          <w:p w:rsidR="00A74787" w:rsidRPr="00A74787" w:rsidRDefault="00A74787" w:rsidP="00A74787">
            <w:pPr>
              <w:jc w:val="center"/>
              <w:rPr>
                <w:sz w:val="16"/>
                <w:szCs w:val="16"/>
              </w:rPr>
            </w:pPr>
            <w:r w:rsidRPr="00A74787">
              <w:rPr>
                <w:sz w:val="16"/>
                <w:szCs w:val="16"/>
              </w:rPr>
              <w:t>49,5</w:t>
            </w:r>
          </w:p>
        </w:tc>
        <w:tc>
          <w:tcPr>
            <w:tcW w:w="1039" w:type="dxa"/>
            <w:vAlign w:val="center"/>
          </w:tcPr>
          <w:p w:rsidR="00A74787" w:rsidRPr="00883B52" w:rsidRDefault="00A74787" w:rsidP="00DB5C6B">
            <w:pPr>
              <w:widowControl w:val="0"/>
              <w:numPr>
                <w:ilvl w:val="12"/>
                <w:numId w:val="0"/>
              </w:numPr>
              <w:jc w:val="center"/>
              <w:rPr>
                <w:sz w:val="16"/>
                <w:szCs w:val="16"/>
              </w:rPr>
            </w:pPr>
            <w:r>
              <w:rPr>
                <w:sz w:val="18"/>
                <w:szCs w:val="18"/>
              </w:rPr>
              <w:t>202,5</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202,5</w:t>
            </w:r>
          </w:p>
        </w:tc>
      </w:tr>
      <w:tr w:rsidR="00A74787" w:rsidRPr="002A072A" w:rsidTr="00A74787">
        <w:tc>
          <w:tcPr>
            <w:tcW w:w="3391" w:type="dxa"/>
          </w:tcPr>
          <w:p w:rsidR="00A74787" w:rsidRPr="00DB5C6B" w:rsidRDefault="00A74787"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1930,1</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1751,7</w:t>
            </w:r>
          </w:p>
        </w:tc>
        <w:tc>
          <w:tcPr>
            <w:tcW w:w="1153" w:type="dxa"/>
            <w:vAlign w:val="center"/>
          </w:tcPr>
          <w:p w:rsidR="00A74787" w:rsidRPr="00A74787" w:rsidRDefault="00A74787" w:rsidP="00A74787">
            <w:pPr>
              <w:jc w:val="center"/>
              <w:rPr>
                <w:b/>
                <w:sz w:val="16"/>
                <w:szCs w:val="16"/>
              </w:rPr>
            </w:pPr>
            <w:r w:rsidRPr="00A74787">
              <w:rPr>
                <w:b/>
                <w:sz w:val="16"/>
                <w:szCs w:val="16"/>
              </w:rPr>
              <w:t>-178,4</w:t>
            </w:r>
          </w:p>
        </w:tc>
        <w:tc>
          <w:tcPr>
            <w:tcW w:w="956" w:type="dxa"/>
            <w:vAlign w:val="center"/>
          </w:tcPr>
          <w:p w:rsidR="00A74787" w:rsidRPr="00A74787" w:rsidRDefault="00A74787" w:rsidP="00A74787">
            <w:pPr>
              <w:jc w:val="center"/>
              <w:rPr>
                <w:b/>
                <w:sz w:val="16"/>
                <w:szCs w:val="16"/>
              </w:rPr>
            </w:pPr>
            <w:r w:rsidRPr="00A74787">
              <w:rPr>
                <w:b/>
                <w:sz w:val="16"/>
                <w:szCs w:val="16"/>
              </w:rPr>
              <w:t>90,8</w:t>
            </w:r>
          </w:p>
        </w:tc>
        <w:tc>
          <w:tcPr>
            <w:tcW w:w="1039" w:type="dxa"/>
            <w:vAlign w:val="center"/>
          </w:tcPr>
          <w:p w:rsidR="00A74787" w:rsidRPr="008C792C" w:rsidRDefault="00A74787" w:rsidP="00BC5359">
            <w:pPr>
              <w:widowControl w:val="0"/>
              <w:numPr>
                <w:ilvl w:val="12"/>
                <w:numId w:val="0"/>
              </w:numPr>
              <w:jc w:val="center"/>
              <w:rPr>
                <w:b/>
                <w:sz w:val="16"/>
                <w:szCs w:val="16"/>
              </w:rPr>
            </w:pPr>
            <w:r>
              <w:rPr>
                <w:b/>
                <w:sz w:val="16"/>
                <w:szCs w:val="16"/>
              </w:rPr>
              <w:t>1587,9</w:t>
            </w:r>
          </w:p>
        </w:tc>
        <w:tc>
          <w:tcPr>
            <w:tcW w:w="1039" w:type="dxa"/>
            <w:vAlign w:val="center"/>
          </w:tcPr>
          <w:p w:rsidR="00A74787" w:rsidRPr="008C792C" w:rsidRDefault="00A74787" w:rsidP="00BC5359">
            <w:pPr>
              <w:widowControl w:val="0"/>
              <w:numPr>
                <w:ilvl w:val="12"/>
                <w:numId w:val="0"/>
              </w:numPr>
              <w:jc w:val="center"/>
              <w:rPr>
                <w:b/>
                <w:sz w:val="16"/>
                <w:szCs w:val="16"/>
              </w:rPr>
            </w:pPr>
            <w:r>
              <w:rPr>
                <w:b/>
                <w:sz w:val="16"/>
                <w:szCs w:val="16"/>
              </w:rPr>
              <w:t>1497,6</w:t>
            </w:r>
          </w:p>
        </w:tc>
      </w:tr>
      <w:tr w:rsidR="00A74787" w:rsidRPr="002A072A" w:rsidTr="00A74787">
        <w:tc>
          <w:tcPr>
            <w:tcW w:w="3391" w:type="dxa"/>
          </w:tcPr>
          <w:p w:rsidR="00A74787" w:rsidRPr="00DB5C6B" w:rsidRDefault="00A74787"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1930,1</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1751,7</w:t>
            </w:r>
          </w:p>
        </w:tc>
        <w:tc>
          <w:tcPr>
            <w:tcW w:w="1153" w:type="dxa"/>
            <w:vAlign w:val="center"/>
          </w:tcPr>
          <w:p w:rsidR="00A74787" w:rsidRPr="00A74787" w:rsidRDefault="00A74787" w:rsidP="00A74787">
            <w:pPr>
              <w:jc w:val="center"/>
              <w:rPr>
                <w:sz w:val="16"/>
                <w:szCs w:val="16"/>
              </w:rPr>
            </w:pPr>
            <w:r w:rsidRPr="00A74787">
              <w:rPr>
                <w:sz w:val="16"/>
                <w:szCs w:val="16"/>
              </w:rPr>
              <w:t>-178,4</w:t>
            </w:r>
          </w:p>
        </w:tc>
        <w:tc>
          <w:tcPr>
            <w:tcW w:w="956" w:type="dxa"/>
            <w:vAlign w:val="center"/>
          </w:tcPr>
          <w:p w:rsidR="00A74787" w:rsidRPr="00A74787" w:rsidRDefault="00A74787" w:rsidP="00A74787">
            <w:pPr>
              <w:jc w:val="center"/>
              <w:rPr>
                <w:sz w:val="16"/>
                <w:szCs w:val="16"/>
              </w:rPr>
            </w:pPr>
            <w:r w:rsidRPr="00A74787">
              <w:rPr>
                <w:sz w:val="16"/>
                <w:szCs w:val="16"/>
              </w:rPr>
              <w:t>90,8</w:t>
            </w:r>
          </w:p>
        </w:tc>
        <w:tc>
          <w:tcPr>
            <w:tcW w:w="1039" w:type="dxa"/>
            <w:vAlign w:val="center"/>
          </w:tcPr>
          <w:p w:rsidR="00A74787" w:rsidRPr="00883B52" w:rsidRDefault="00A74787" w:rsidP="00BC5359">
            <w:pPr>
              <w:widowControl w:val="0"/>
              <w:numPr>
                <w:ilvl w:val="12"/>
                <w:numId w:val="0"/>
              </w:numPr>
              <w:jc w:val="center"/>
              <w:rPr>
                <w:sz w:val="16"/>
                <w:szCs w:val="16"/>
              </w:rPr>
            </w:pPr>
            <w:r>
              <w:rPr>
                <w:sz w:val="16"/>
                <w:szCs w:val="16"/>
              </w:rPr>
              <w:t>1587,9</w:t>
            </w:r>
          </w:p>
        </w:tc>
        <w:tc>
          <w:tcPr>
            <w:tcW w:w="1039" w:type="dxa"/>
            <w:vAlign w:val="center"/>
          </w:tcPr>
          <w:p w:rsidR="00A74787" w:rsidRDefault="00A74787" w:rsidP="00BC5359">
            <w:pPr>
              <w:widowControl w:val="0"/>
              <w:numPr>
                <w:ilvl w:val="12"/>
                <w:numId w:val="0"/>
              </w:numPr>
              <w:jc w:val="center"/>
              <w:rPr>
                <w:sz w:val="16"/>
                <w:szCs w:val="16"/>
              </w:rPr>
            </w:pPr>
            <w:r>
              <w:rPr>
                <w:sz w:val="16"/>
                <w:szCs w:val="16"/>
              </w:rPr>
              <w:t>1497,6</w:t>
            </w:r>
          </w:p>
        </w:tc>
      </w:tr>
      <w:tr w:rsidR="00A74787" w:rsidRPr="002A072A" w:rsidTr="00A74787">
        <w:tc>
          <w:tcPr>
            <w:tcW w:w="3391" w:type="dxa"/>
          </w:tcPr>
          <w:p w:rsidR="00A74787" w:rsidRPr="00FA7CAE" w:rsidRDefault="00A74787"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A74787" w:rsidRPr="00601AE1" w:rsidRDefault="00A74787" w:rsidP="006D30B0">
            <w:pPr>
              <w:widowControl w:val="0"/>
              <w:numPr>
                <w:ilvl w:val="12"/>
                <w:numId w:val="0"/>
              </w:numPr>
              <w:jc w:val="center"/>
              <w:rPr>
                <w:b/>
                <w:sz w:val="16"/>
                <w:szCs w:val="16"/>
              </w:rPr>
            </w:pPr>
            <w:r>
              <w:rPr>
                <w:b/>
                <w:sz w:val="16"/>
                <w:szCs w:val="16"/>
              </w:rPr>
              <w:t>144,1</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120</w:t>
            </w:r>
          </w:p>
        </w:tc>
        <w:tc>
          <w:tcPr>
            <w:tcW w:w="1153" w:type="dxa"/>
            <w:vAlign w:val="center"/>
          </w:tcPr>
          <w:p w:rsidR="00A74787" w:rsidRPr="00A74787" w:rsidRDefault="00A74787" w:rsidP="00A74787">
            <w:pPr>
              <w:jc w:val="center"/>
              <w:rPr>
                <w:b/>
                <w:sz w:val="16"/>
                <w:szCs w:val="16"/>
              </w:rPr>
            </w:pPr>
            <w:r w:rsidRPr="00A74787">
              <w:rPr>
                <w:b/>
                <w:sz w:val="16"/>
                <w:szCs w:val="16"/>
              </w:rPr>
              <w:t>-24,1</w:t>
            </w:r>
          </w:p>
        </w:tc>
        <w:tc>
          <w:tcPr>
            <w:tcW w:w="956" w:type="dxa"/>
            <w:vAlign w:val="center"/>
          </w:tcPr>
          <w:p w:rsidR="00A74787" w:rsidRPr="00A74787" w:rsidRDefault="00A74787" w:rsidP="00A74787">
            <w:pPr>
              <w:jc w:val="center"/>
              <w:rPr>
                <w:b/>
                <w:sz w:val="16"/>
                <w:szCs w:val="16"/>
              </w:rPr>
            </w:pPr>
            <w:r w:rsidRPr="00A74787">
              <w:rPr>
                <w:b/>
                <w:sz w:val="16"/>
                <w:szCs w:val="16"/>
              </w:rPr>
              <w:t>83,3</w:t>
            </w:r>
          </w:p>
        </w:tc>
        <w:tc>
          <w:tcPr>
            <w:tcW w:w="1039" w:type="dxa"/>
            <w:vAlign w:val="center"/>
          </w:tcPr>
          <w:p w:rsidR="00A74787" w:rsidRPr="00FA7CAE" w:rsidRDefault="00A74787" w:rsidP="00DB5C6B">
            <w:pPr>
              <w:widowControl w:val="0"/>
              <w:numPr>
                <w:ilvl w:val="12"/>
                <w:numId w:val="0"/>
              </w:numPr>
              <w:jc w:val="center"/>
              <w:rPr>
                <w:b/>
                <w:sz w:val="16"/>
                <w:szCs w:val="16"/>
              </w:rPr>
            </w:pPr>
            <w:r>
              <w:rPr>
                <w:b/>
                <w:sz w:val="16"/>
                <w:szCs w:val="16"/>
              </w:rPr>
              <w:t>110</w:t>
            </w:r>
          </w:p>
        </w:tc>
        <w:tc>
          <w:tcPr>
            <w:tcW w:w="1039" w:type="dxa"/>
            <w:vAlign w:val="center"/>
          </w:tcPr>
          <w:p w:rsidR="00A74787" w:rsidRPr="00FA7CAE" w:rsidRDefault="00A74787" w:rsidP="00DB5C6B">
            <w:pPr>
              <w:widowControl w:val="0"/>
              <w:numPr>
                <w:ilvl w:val="12"/>
                <w:numId w:val="0"/>
              </w:numPr>
              <w:jc w:val="center"/>
              <w:rPr>
                <w:b/>
                <w:sz w:val="16"/>
                <w:szCs w:val="16"/>
              </w:rPr>
            </w:pPr>
            <w:r>
              <w:rPr>
                <w:b/>
                <w:sz w:val="16"/>
                <w:szCs w:val="16"/>
              </w:rPr>
              <w:t>103</w:t>
            </w:r>
          </w:p>
        </w:tc>
      </w:tr>
      <w:tr w:rsidR="00A74787" w:rsidRPr="002A072A" w:rsidTr="00A74787">
        <w:tc>
          <w:tcPr>
            <w:tcW w:w="3391" w:type="dxa"/>
          </w:tcPr>
          <w:p w:rsidR="00A74787" w:rsidRDefault="00A74787" w:rsidP="006D30B0">
            <w:pPr>
              <w:autoSpaceDE w:val="0"/>
              <w:autoSpaceDN w:val="0"/>
              <w:adjustRightInd w:val="0"/>
              <w:rPr>
                <w:sz w:val="16"/>
                <w:szCs w:val="16"/>
              </w:rPr>
            </w:pPr>
            <w:r>
              <w:rPr>
                <w:sz w:val="16"/>
                <w:szCs w:val="16"/>
              </w:rPr>
              <w:t>Пенсионное обеспечение (1001)</w:t>
            </w:r>
          </w:p>
        </w:tc>
        <w:tc>
          <w:tcPr>
            <w:tcW w:w="1123" w:type="dxa"/>
            <w:vAlign w:val="center"/>
          </w:tcPr>
          <w:p w:rsidR="00A74787" w:rsidRPr="00601AE1" w:rsidRDefault="00A74787" w:rsidP="006D30B0">
            <w:pPr>
              <w:widowControl w:val="0"/>
              <w:numPr>
                <w:ilvl w:val="12"/>
                <w:numId w:val="0"/>
              </w:numPr>
              <w:jc w:val="center"/>
              <w:rPr>
                <w:sz w:val="16"/>
                <w:szCs w:val="16"/>
              </w:rPr>
            </w:pPr>
            <w:r>
              <w:rPr>
                <w:sz w:val="16"/>
                <w:szCs w:val="16"/>
              </w:rPr>
              <w:t>144,1</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120</w:t>
            </w:r>
          </w:p>
        </w:tc>
        <w:tc>
          <w:tcPr>
            <w:tcW w:w="1153" w:type="dxa"/>
            <w:vAlign w:val="center"/>
          </w:tcPr>
          <w:p w:rsidR="00A74787" w:rsidRPr="00A74787" w:rsidRDefault="00A74787" w:rsidP="00A74787">
            <w:pPr>
              <w:jc w:val="center"/>
              <w:rPr>
                <w:sz w:val="16"/>
                <w:szCs w:val="16"/>
              </w:rPr>
            </w:pPr>
            <w:r w:rsidRPr="00A74787">
              <w:rPr>
                <w:sz w:val="16"/>
                <w:szCs w:val="16"/>
              </w:rPr>
              <w:t>-24,1</w:t>
            </w:r>
          </w:p>
        </w:tc>
        <w:tc>
          <w:tcPr>
            <w:tcW w:w="956" w:type="dxa"/>
            <w:vAlign w:val="center"/>
          </w:tcPr>
          <w:p w:rsidR="00A74787" w:rsidRPr="00A74787" w:rsidRDefault="00A74787" w:rsidP="00A74787">
            <w:pPr>
              <w:jc w:val="center"/>
              <w:rPr>
                <w:sz w:val="16"/>
                <w:szCs w:val="16"/>
              </w:rPr>
            </w:pPr>
            <w:r w:rsidRPr="00A74787">
              <w:rPr>
                <w:sz w:val="16"/>
                <w:szCs w:val="16"/>
              </w:rPr>
              <w:t>83,3</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110</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103</w:t>
            </w:r>
          </w:p>
        </w:tc>
      </w:tr>
      <w:tr w:rsidR="00A74787" w:rsidRPr="002A072A" w:rsidTr="00A74787">
        <w:tc>
          <w:tcPr>
            <w:tcW w:w="3391" w:type="dxa"/>
          </w:tcPr>
          <w:p w:rsidR="00A74787" w:rsidRPr="00BC5359" w:rsidRDefault="00A74787"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A74787" w:rsidRPr="00BC5359" w:rsidRDefault="00A74787" w:rsidP="006D30B0">
            <w:pPr>
              <w:widowControl w:val="0"/>
              <w:numPr>
                <w:ilvl w:val="12"/>
                <w:numId w:val="0"/>
              </w:numPr>
              <w:jc w:val="center"/>
              <w:rPr>
                <w:b/>
                <w:sz w:val="16"/>
                <w:szCs w:val="16"/>
              </w:rPr>
            </w:pPr>
            <w:r>
              <w:rPr>
                <w:b/>
                <w:sz w:val="16"/>
                <w:szCs w:val="16"/>
              </w:rPr>
              <w:t>0,0</w:t>
            </w:r>
          </w:p>
        </w:tc>
        <w:tc>
          <w:tcPr>
            <w:tcW w:w="1153" w:type="dxa"/>
            <w:vAlign w:val="center"/>
          </w:tcPr>
          <w:p w:rsidR="00A74787" w:rsidRPr="00BC5359" w:rsidRDefault="00A74787" w:rsidP="00DB5C6B">
            <w:pPr>
              <w:widowControl w:val="0"/>
              <w:numPr>
                <w:ilvl w:val="12"/>
                <w:numId w:val="0"/>
              </w:numPr>
              <w:jc w:val="center"/>
              <w:rPr>
                <w:b/>
                <w:sz w:val="16"/>
                <w:szCs w:val="16"/>
              </w:rPr>
            </w:pPr>
            <w:r>
              <w:rPr>
                <w:b/>
                <w:sz w:val="16"/>
                <w:szCs w:val="16"/>
              </w:rPr>
              <w:t>0,1</w:t>
            </w:r>
          </w:p>
        </w:tc>
        <w:tc>
          <w:tcPr>
            <w:tcW w:w="1153" w:type="dxa"/>
            <w:vAlign w:val="center"/>
          </w:tcPr>
          <w:p w:rsidR="00A74787" w:rsidRPr="00A74787" w:rsidRDefault="00A74787" w:rsidP="00A74787">
            <w:pPr>
              <w:jc w:val="center"/>
              <w:rPr>
                <w:b/>
                <w:sz w:val="16"/>
                <w:szCs w:val="16"/>
              </w:rPr>
            </w:pPr>
            <w:r w:rsidRPr="00A74787">
              <w:rPr>
                <w:b/>
                <w:sz w:val="16"/>
                <w:szCs w:val="16"/>
              </w:rPr>
              <w:t>0,1</w:t>
            </w:r>
          </w:p>
        </w:tc>
        <w:tc>
          <w:tcPr>
            <w:tcW w:w="956" w:type="dxa"/>
            <w:vAlign w:val="center"/>
          </w:tcPr>
          <w:p w:rsidR="00A74787" w:rsidRPr="00A74787" w:rsidRDefault="00A74787" w:rsidP="00A74787">
            <w:pPr>
              <w:jc w:val="center"/>
              <w:rPr>
                <w:b/>
                <w:sz w:val="16"/>
                <w:szCs w:val="16"/>
              </w:rPr>
            </w:pPr>
            <w:r w:rsidRPr="00A74787">
              <w:rPr>
                <w:b/>
                <w:sz w:val="16"/>
                <w:szCs w:val="16"/>
              </w:rPr>
              <w:t>0,0</w:t>
            </w:r>
          </w:p>
        </w:tc>
        <w:tc>
          <w:tcPr>
            <w:tcW w:w="1039" w:type="dxa"/>
            <w:vAlign w:val="center"/>
          </w:tcPr>
          <w:p w:rsidR="00A74787" w:rsidRPr="00BC5359" w:rsidRDefault="00A74787" w:rsidP="00DB5C6B">
            <w:pPr>
              <w:widowControl w:val="0"/>
              <w:numPr>
                <w:ilvl w:val="12"/>
                <w:numId w:val="0"/>
              </w:numPr>
              <w:jc w:val="center"/>
              <w:rPr>
                <w:b/>
                <w:sz w:val="16"/>
                <w:szCs w:val="16"/>
              </w:rPr>
            </w:pPr>
            <w:r>
              <w:rPr>
                <w:b/>
                <w:sz w:val="16"/>
                <w:szCs w:val="16"/>
              </w:rPr>
              <w:t>0,1</w:t>
            </w:r>
          </w:p>
        </w:tc>
        <w:tc>
          <w:tcPr>
            <w:tcW w:w="1039" w:type="dxa"/>
            <w:vAlign w:val="center"/>
          </w:tcPr>
          <w:p w:rsidR="00A74787" w:rsidRPr="00BC5359" w:rsidRDefault="00A74787" w:rsidP="00DB5C6B">
            <w:pPr>
              <w:widowControl w:val="0"/>
              <w:numPr>
                <w:ilvl w:val="12"/>
                <w:numId w:val="0"/>
              </w:numPr>
              <w:jc w:val="center"/>
              <w:rPr>
                <w:b/>
                <w:sz w:val="16"/>
                <w:szCs w:val="16"/>
              </w:rPr>
            </w:pPr>
            <w:r>
              <w:rPr>
                <w:b/>
                <w:sz w:val="16"/>
                <w:szCs w:val="16"/>
              </w:rPr>
              <w:t>0,1</w:t>
            </w:r>
          </w:p>
        </w:tc>
      </w:tr>
      <w:tr w:rsidR="00A74787" w:rsidRPr="002A072A" w:rsidTr="00A74787">
        <w:tc>
          <w:tcPr>
            <w:tcW w:w="3391" w:type="dxa"/>
          </w:tcPr>
          <w:p w:rsidR="00A74787" w:rsidRPr="00C5394C" w:rsidRDefault="00A74787"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A74787" w:rsidRPr="007622F7" w:rsidRDefault="00A74787" w:rsidP="006D30B0">
            <w:pPr>
              <w:widowControl w:val="0"/>
              <w:numPr>
                <w:ilvl w:val="12"/>
                <w:numId w:val="0"/>
              </w:numPr>
              <w:jc w:val="center"/>
              <w:rPr>
                <w:sz w:val="16"/>
                <w:szCs w:val="16"/>
              </w:rPr>
            </w:pPr>
            <w:r>
              <w:rPr>
                <w:sz w:val="16"/>
                <w:szCs w:val="16"/>
              </w:rPr>
              <w:t>0,0</w:t>
            </w:r>
          </w:p>
        </w:tc>
        <w:tc>
          <w:tcPr>
            <w:tcW w:w="1153" w:type="dxa"/>
            <w:vAlign w:val="center"/>
          </w:tcPr>
          <w:p w:rsidR="00A74787" w:rsidRPr="007622F7" w:rsidRDefault="00A74787" w:rsidP="00DB5C6B">
            <w:pPr>
              <w:widowControl w:val="0"/>
              <w:numPr>
                <w:ilvl w:val="12"/>
                <w:numId w:val="0"/>
              </w:numPr>
              <w:jc w:val="center"/>
              <w:rPr>
                <w:sz w:val="16"/>
                <w:szCs w:val="16"/>
              </w:rPr>
            </w:pPr>
            <w:r>
              <w:rPr>
                <w:sz w:val="16"/>
                <w:szCs w:val="16"/>
              </w:rPr>
              <w:t>0,1</w:t>
            </w:r>
          </w:p>
        </w:tc>
        <w:tc>
          <w:tcPr>
            <w:tcW w:w="1153" w:type="dxa"/>
            <w:vAlign w:val="center"/>
          </w:tcPr>
          <w:p w:rsidR="00A74787" w:rsidRPr="00A74787" w:rsidRDefault="00A74787" w:rsidP="00A74787">
            <w:pPr>
              <w:jc w:val="center"/>
              <w:rPr>
                <w:sz w:val="16"/>
                <w:szCs w:val="16"/>
              </w:rPr>
            </w:pPr>
            <w:r w:rsidRPr="00A74787">
              <w:rPr>
                <w:sz w:val="16"/>
                <w:szCs w:val="16"/>
              </w:rPr>
              <w:t>0,1</w:t>
            </w:r>
          </w:p>
        </w:tc>
        <w:tc>
          <w:tcPr>
            <w:tcW w:w="956" w:type="dxa"/>
            <w:vAlign w:val="center"/>
          </w:tcPr>
          <w:p w:rsidR="00A74787" w:rsidRPr="00A74787" w:rsidRDefault="00A74787" w:rsidP="00A74787">
            <w:pPr>
              <w:jc w:val="center"/>
              <w:rPr>
                <w:sz w:val="16"/>
                <w:szCs w:val="16"/>
              </w:rPr>
            </w:pPr>
            <w:r w:rsidRPr="00A74787">
              <w:rPr>
                <w:sz w:val="16"/>
                <w:szCs w:val="16"/>
              </w:rPr>
              <w:t>0,0</w:t>
            </w:r>
          </w:p>
        </w:tc>
        <w:tc>
          <w:tcPr>
            <w:tcW w:w="1039" w:type="dxa"/>
            <w:vAlign w:val="center"/>
          </w:tcPr>
          <w:p w:rsidR="00A74787" w:rsidRPr="007622F7" w:rsidRDefault="00A74787" w:rsidP="00DB5C6B">
            <w:pPr>
              <w:widowControl w:val="0"/>
              <w:numPr>
                <w:ilvl w:val="12"/>
                <w:numId w:val="0"/>
              </w:numPr>
              <w:jc w:val="center"/>
              <w:rPr>
                <w:sz w:val="16"/>
                <w:szCs w:val="16"/>
              </w:rPr>
            </w:pPr>
            <w:r>
              <w:rPr>
                <w:sz w:val="16"/>
                <w:szCs w:val="16"/>
              </w:rPr>
              <w:t>0,1</w:t>
            </w:r>
          </w:p>
        </w:tc>
        <w:tc>
          <w:tcPr>
            <w:tcW w:w="1039" w:type="dxa"/>
            <w:vAlign w:val="center"/>
          </w:tcPr>
          <w:p w:rsidR="00A74787" w:rsidRPr="007622F7" w:rsidRDefault="00A74787" w:rsidP="00DB5C6B">
            <w:pPr>
              <w:widowControl w:val="0"/>
              <w:numPr>
                <w:ilvl w:val="12"/>
                <w:numId w:val="0"/>
              </w:numPr>
              <w:jc w:val="center"/>
              <w:rPr>
                <w:sz w:val="16"/>
                <w:szCs w:val="16"/>
              </w:rPr>
            </w:pPr>
            <w:r>
              <w:rPr>
                <w:sz w:val="16"/>
                <w:szCs w:val="16"/>
              </w:rPr>
              <w:t>0,1</w:t>
            </w:r>
          </w:p>
        </w:tc>
      </w:tr>
      <w:tr w:rsidR="00A74787" w:rsidRPr="002A072A" w:rsidTr="00A74787">
        <w:tc>
          <w:tcPr>
            <w:tcW w:w="3391" w:type="dxa"/>
          </w:tcPr>
          <w:p w:rsidR="00A74787" w:rsidRPr="00DB5C6B" w:rsidRDefault="00A74787"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A74787" w:rsidRPr="00601AE1" w:rsidRDefault="00A74787" w:rsidP="00DB5C6B">
            <w:pPr>
              <w:widowControl w:val="0"/>
              <w:numPr>
                <w:ilvl w:val="12"/>
                <w:numId w:val="0"/>
              </w:numPr>
              <w:jc w:val="center"/>
              <w:rPr>
                <w:b/>
                <w:sz w:val="16"/>
                <w:szCs w:val="16"/>
              </w:rPr>
            </w:pPr>
            <w:r>
              <w:rPr>
                <w:b/>
                <w:sz w:val="16"/>
                <w:szCs w:val="16"/>
              </w:rPr>
              <w:t>674,3</w:t>
            </w:r>
          </w:p>
        </w:tc>
        <w:tc>
          <w:tcPr>
            <w:tcW w:w="1153" w:type="dxa"/>
            <w:vAlign w:val="center"/>
          </w:tcPr>
          <w:p w:rsidR="00A74787" w:rsidRPr="00601AE1" w:rsidRDefault="00A74787" w:rsidP="00DB5C6B">
            <w:pPr>
              <w:widowControl w:val="0"/>
              <w:numPr>
                <w:ilvl w:val="12"/>
                <w:numId w:val="0"/>
              </w:numPr>
              <w:jc w:val="center"/>
              <w:rPr>
                <w:b/>
                <w:sz w:val="16"/>
                <w:szCs w:val="16"/>
              </w:rPr>
            </w:pPr>
            <w:r>
              <w:rPr>
                <w:b/>
                <w:sz w:val="16"/>
                <w:szCs w:val="16"/>
              </w:rPr>
              <w:t>737</w:t>
            </w:r>
          </w:p>
        </w:tc>
        <w:tc>
          <w:tcPr>
            <w:tcW w:w="1153" w:type="dxa"/>
            <w:vAlign w:val="center"/>
          </w:tcPr>
          <w:p w:rsidR="00A74787" w:rsidRPr="00A74787" w:rsidRDefault="00A74787" w:rsidP="00A74787">
            <w:pPr>
              <w:jc w:val="center"/>
              <w:rPr>
                <w:b/>
                <w:sz w:val="16"/>
                <w:szCs w:val="16"/>
              </w:rPr>
            </w:pPr>
            <w:r w:rsidRPr="00A74787">
              <w:rPr>
                <w:b/>
                <w:sz w:val="16"/>
                <w:szCs w:val="16"/>
              </w:rPr>
              <w:t>62,7</w:t>
            </w:r>
          </w:p>
        </w:tc>
        <w:tc>
          <w:tcPr>
            <w:tcW w:w="956" w:type="dxa"/>
            <w:vAlign w:val="center"/>
          </w:tcPr>
          <w:p w:rsidR="00A74787" w:rsidRPr="00A74787" w:rsidRDefault="00A74787" w:rsidP="00A74787">
            <w:pPr>
              <w:jc w:val="center"/>
              <w:rPr>
                <w:b/>
                <w:sz w:val="16"/>
                <w:szCs w:val="16"/>
              </w:rPr>
            </w:pPr>
            <w:r w:rsidRPr="00A74787">
              <w:rPr>
                <w:b/>
                <w:sz w:val="16"/>
                <w:szCs w:val="16"/>
              </w:rPr>
              <w:t>109,3</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753,7</w:t>
            </w:r>
          </w:p>
        </w:tc>
        <w:tc>
          <w:tcPr>
            <w:tcW w:w="1039" w:type="dxa"/>
            <w:vAlign w:val="center"/>
          </w:tcPr>
          <w:p w:rsidR="00A74787" w:rsidRPr="00DB5C6B" w:rsidRDefault="00A74787" w:rsidP="00DB5C6B">
            <w:pPr>
              <w:widowControl w:val="0"/>
              <w:numPr>
                <w:ilvl w:val="12"/>
                <w:numId w:val="0"/>
              </w:numPr>
              <w:jc w:val="center"/>
              <w:rPr>
                <w:b/>
                <w:sz w:val="16"/>
                <w:szCs w:val="16"/>
              </w:rPr>
            </w:pPr>
            <w:r>
              <w:rPr>
                <w:b/>
                <w:sz w:val="16"/>
                <w:szCs w:val="16"/>
              </w:rPr>
              <w:t>771</w:t>
            </w:r>
          </w:p>
        </w:tc>
      </w:tr>
      <w:tr w:rsidR="00A74787" w:rsidRPr="002A072A" w:rsidTr="00A74787">
        <w:tc>
          <w:tcPr>
            <w:tcW w:w="3391" w:type="dxa"/>
          </w:tcPr>
          <w:p w:rsidR="00A74787" w:rsidRPr="00DB5C6B" w:rsidRDefault="00A74787"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A74787" w:rsidRPr="00601AE1" w:rsidRDefault="00A74787" w:rsidP="00DB5C6B">
            <w:pPr>
              <w:widowControl w:val="0"/>
              <w:numPr>
                <w:ilvl w:val="12"/>
                <w:numId w:val="0"/>
              </w:numPr>
              <w:jc w:val="center"/>
              <w:rPr>
                <w:sz w:val="16"/>
                <w:szCs w:val="16"/>
              </w:rPr>
            </w:pPr>
            <w:r>
              <w:rPr>
                <w:sz w:val="16"/>
                <w:szCs w:val="16"/>
              </w:rPr>
              <w:t>674,3</w:t>
            </w:r>
          </w:p>
        </w:tc>
        <w:tc>
          <w:tcPr>
            <w:tcW w:w="1153" w:type="dxa"/>
            <w:vAlign w:val="center"/>
          </w:tcPr>
          <w:p w:rsidR="00A74787" w:rsidRPr="00601AE1" w:rsidRDefault="00A74787" w:rsidP="00DB5C6B">
            <w:pPr>
              <w:widowControl w:val="0"/>
              <w:numPr>
                <w:ilvl w:val="12"/>
                <w:numId w:val="0"/>
              </w:numPr>
              <w:jc w:val="center"/>
              <w:rPr>
                <w:sz w:val="16"/>
                <w:szCs w:val="16"/>
              </w:rPr>
            </w:pPr>
            <w:r>
              <w:rPr>
                <w:sz w:val="16"/>
                <w:szCs w:val="16"/>
              </w:rPr>
              <w:t>737</w:t>
            </w:r>
          </w:p>
        </w:tc>
        <w:tc>
          <w:tcPr>
            <w:tcW w:w="1153" w:type="dxa"/>
            <w:vAlign w:val="center"/>
          </w:tcPr>
          <w:p w:rsidR="00A74787" w:rsidRPr="00A74787" w:rsidRDefault="00A74787" w:rsidP="00A74787">
            <w:pPr>
              <w:jc w:val="center"/>
              <w:rPr>
                <w:sz w:val="16"/>
                <w:szCs w:val="16"/>
              </w:rPr>
            </w:pPr>
            <w:r w:rsidRPr="00A74787">
              <w:rPr>
                <w:sz w:val="16"/>
                <w:szCs w:val="16"/>
              </w:rPr>
              <w:t>62,7</w:t>
            </w:r>
          </w:p>
        </w:tc>
        <w:tc>
          <w:tcPr>
            <w:tcW w:w="956" w:type="dxa"/>
            <w:vAlign w:val="center"/>
          </w:tcPr>
          <w:p w:rsidR="00A74787" w:rsidRPr="00A74787" w:rsidRDefault="00A74787" w:rsidP="00A74787">
            <w:pPr>
              <w:jc w:val="center"/>
              <w:rPr>
                <w:sz w:val="16"/>
                <w:szCs w:val="16"/>
              </w:rPr>
            </w:pPr>
            <w:r w:rsidRPr="00A74787">
              <w:rPr>
                <w:sz w:val="16"/>
                <w:szCs w:val="16"/>
              </w:rPr>
              <w:t>109,3</w:t>
            </w:r>
          </w:p>
        </w:tc>
        <w:tc>
          <w:tcPr>
            <w:tcW w:w="1039" w:type="dxa"/>
            <w:vAlign w:val="center"/>
          </w:tcPr>
          <w:p w:rsidR="00A74787" w:rsidRPr="00883B52" w:rsidRDefault="00A74787" w:rsidP="00DB5C6B">
            <w:pPr>
              <w:widowControl w:val="0"/>
              <w:numPr>
                <w:ilvl w:val="12"/>
                <w:numId w:val="0"/>
              </w:numPr>
              <w:jc w:val="center"/>
              <w:rPr>
                <w:sz w:val="16"/>
                <w:szCs w:val="16"/>
              </w:rPr>
            </w:pPr>
            <w:r>
              <w:rPr>
                <w:sz w:val="16"/>
                <w:szCs w:val="16"/>
              </w:rPr>
              <w:t>753,7</w:t>
            </w:r>
          </w:p>
        </w:tc>
        <w:tc>
          <w:tcPr>
            <w:tcW w:w="1039" w:type="dxa"/>
            <w:vAlign w:val="center"/>
          </w:tcPr>
          <w:p w:rsidR="00A74787" w:rsidRDefault="00A74787" w:rsidP="00DB5C6B">
            <w:pPr>
              <w:widowControl w:val="0"/>
              <w:numPr>
                <w:ilvl w:val="12"/>
                <w:numId w:val="0"/>
              </w:numPr>
              <w:jc w:val="center"/>
              <w:rPr>
                <w:sz w:val="16"/>
                <w:szCs w:val="16"/>
              </w:rPr>
            </w:pPr>
            <w:r>
              <w:rPr>
                <w:sz w:val="16"/>
                <w:szCs w:val="16"/>
              </w:rPr>
              <w:t>771</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w:t>
      </w:r>
      <w:r w:rsidR="00423A44">
        <w:t>1</w:t>
      </w:r>
      <w:r>
        <w:t xml:space="preserve">г. </w:t>
      </w:r>
      <w:r w:rsidR="00A22562">
        <w:t>–</w:t>
      </w:r>
      <w:r>
        <w:t xml:space="preserve"> </w:t>
      </w:r>
      <w:r w:rsidR="006C441B">
        <w:t>2917,2</w:t>
      </w:r>
      <w:r w:rsidR="00A22562">
        <w:t xml:space="preserve"> тыс. рублей (или </w:t>
      </w:r>
      <w:r w:rsidR="006C441B">
        <w:t>46,3</w:t>
      </w:r>
      <w:r w:rsidRPr="006B68FA">
        <w:t>%</w:t>
      </w:r>
      <w:r w:rsidR="00A22562">
        <w:t>)</w:t>
      </w:r>
      <w:r w:rsidRPr="006B68FA">
        <w:t xml:space="preserve">, </w:t>
      </w:r>
      <w:r>
        <w:t>в 202</w:t>
      </w:r>
      <w:r w:rsidR="00423A44">
        <w:t>2</w:t>
      </w:r>
      <w:r>
        <w:t xml:space="preserve">г. </w:t>
      </w:r>
      <w:r w:rsidR="00A22562">
        <w:t>–</w:t>
      </w:r>
      <w:r>
        <w:t xml:space="preserve"> </w:t>
      </w:r>
      <w:r w:rsidR="006C441B">
        <w:t>2669,2</w:t>
      </w:r>
      <w:r w:rsidR="00A22562">
        <w:t xml:space="preserve"> тыс. рублей (или </w:t>
      </w:r>
      <w:r w:rsidR="006C441B">
        <w:t>45,1</w:t>
      </w:r>
      <w:r w:rsidRPr="006B68FA">
        <w:t>%</w:t>
      </w:r>
      <w:r w:rsidR="00A22562">
        <w:t>)</w:t>
      </w:r>
      <w:r>
        <w:t>,</w:t>
      </w:r>
      <w:r w:rsidRPr="006B68FA">
        <w:t xml:space="preserve"> </w:t>
      </w:r>
      <w:r>
        <w:t>в 202</w:t>
      </w:r>
      <w:r w:rsidR="00423A44">
        <w:t>3</w:t>
      </w:r>
      <w:r>
        <w:t xml:space="preserve">г. </w:t>
      </w:r>
      <w:r w:rsidR="00A22562">
        <w:t>–</w:t>
      </w:r>
      <w:r>
        <w:t xml:space="preserve"> </w:t>
      </w:r>
      <w:r w:rsidR="006C441B">
        <w:t>2482,9</w:t>
      </w:r>
      <w:r w:rsidR="00A22562">
        <w:t xml:space="preserve"> тыс. рублей (или </w:t>
      </w:r>
      <w:r w:rsidR="006C441B">
        <w:t>43,8</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6C441B">
        <w:t>1751,7</w:t>
      </w:r>
      <w:r w:rsidR="00A22562">
        <w:t xml:space="preserve"> тыс. рублей (или </w:t>
      </w:r>
      <w:r w:rsidR="006C441B">
        <w:t>27,8</w:t>
      </w:r>
      <w:r w:rsidRPr="006B68FA">
        <w:t>%</w:t>
      </w:r>
      <w:r w:rsidR="00A22562">
        <w:t>)</w:t>
      </w:r>
      <w:r w:rsidRPr="006B68FA">
        <w:t xml:space="preserve">, </w:t>
      </w:r>
      <w:r>
        <w:t>в 202</w:t>
      </w:r>
      <w:r w:rsidR="00423A44">
        <w:t>2</w:t>
      </w:r>
      <w:r>
        <w:t xml:space="preserve">г. </w:t>
      </w:r>
      <w:r w:rsidR="00A22562">
        <w:t>–</w:t>
      </w:r>
      <w:r>
        <w:t xml:space="preserve"> </w:t>
      </w:r>
      <w:r w:rsidR="006C441B">
        <w:t>1587,9</w:t>
      </w:r>
      <w:r w:rsidR="00A22562">
        <w:t xml:space="preserve"> тыс. рублей (или </w:t>
      </w:r>
      <w:r w:rsidR="006C441B">
        <w:t>26,9</w:t>
      </w:r>
      <w:r w:rsidRPr="006B68FA">
        <w:t>%</w:t>
      </w:r>
      <w:r w:rsidR="00A22562">
        <w:t>)</w:t>
      </w:r>
      <w:r w:rsidRPr="006B68FA">
        <w:t xml:space="preserve">, </w:t>
      </w:r>
      <w:r>
        <w:t>в 202</w:t>
      </w:r>
      <w:r w:rsidR="00423A44">
        <w:t>3</w:t>
      </w:r>
      <w:r>
        <w:t xml:space="preserve">г. </w:t>
      </w:r>
      <w:r w:rsidR="00A22562">
        <w:t>–</w:t>
      </w:r>
      <w:r>
        <w:t xml:space="preserve"> </w:t>
      </w:r>
      <w:r w:rsidR="006C441B">
        <w:t>1497,6</w:t>
      </w:r>
      <w:r w:rsidR="00A22562">
        <w:t xml:space="preserve"> тыс. рублей (или </w:t>
      </w:r>
      <w:r w:rsidR="006C441B">
        <w:t>26,4</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6568F3">
        <w:rPr>
          <w:rFonts w:ascii="Times New Roman" w:hAnsi="Times New Roman"/>
        </w:rPr>
        <w:t>двум</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6C441B">
        <w:rPr>
          <w:rFonts w:ascii="Times New Roman" w:hAnsi="Times New Roman"/>
          <w:snapToGrid w:val="0"/>
        </w:rPr>
        <w:t>62,7</w:t>
      </w:r>
      <w:r>
        <w:rPr>
          <w:rFonts w:ascii="Times New Roman" w:hAnsi="Times New Roman"/>
          <w:snapToGrid w:val="0"/>
        </w:rPr>
        <w:t xml:space="preserve"> тыс.руб. (рост </w:t>
      </w:r>
      <w:r w:rsidR="00851EAD">
        <w:rPr>
          <w:rFonts w:ascii="Times New Roman" w:hAnsi="Times New Roman"/>
          <w:snapToGrid w:val="0"/>
        </w:rPr>
        <w:t>109,</w:t>
      </w:r>
      <w:r w:rsidR="006C441B">
        <w:rPr>
          <w:rFonts w:ascii="Times New Roman" w:hAnsi="Times New Roman"/>
          <w:snapToGrid w:val="0"/>
        </w:rPr>
        <w:t>3</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6C441B">
        <w:t>485,1</w:t>
      </w:r>
      <w:r w:rsidR="0084197B" w:rsidRPr="00054904">
        <w:t xml:space="preserve"> тыс. руб. (-</w:t>
      </w:r>
      <w:r w:rsidR="006C441B">
        <w:t>14,3</w:t>
      </w:r>
      <w:r w:rsidR="0084197B" w:rsidRPr="00054904">
        <w:t xml:space="preserve">%), </w:t>
      </w:r>
      <w:r w:rsidR="00054904" w:rsidRPr="00054904">
        <w:t>на «</w:t>
      </w:r>
      <w:r w:rsidR="00054904" w:rsidRPr="00054904">
        <w:rPr>
          <w:bCs/>
        </w:rPr>
        <w:t xml:space="preserve">Национальную безопасность и правоохранительную деятельность» - </w:t>
      </w:r>
      <w:r w:rsidR="006C441B">
        <w:rPr>
          <w:bCs/>
        </w:rPr>
        <w:t>43,8</w:t>
      </w:r>
      <w:r w:rsidR="00054904" w:rsidRPr="00054904">
        <w:rPr>
          <w:bCs/>
        </w:rPr>
        <w:t xml:space="preserve"> тыс. руб. (-</w:t>
      </w:r>
      <w:r w:rsidR="006C441B">
        <w:rPr>
          <w:bCs/>
        </w:rPr>
        <w:t>38,5</w:t>
      </w:r>
      <w:r w:rsidR="00054904" w:rsidRPr="00054904">
        <w:rPr>
          <w:bCs/>
        </w:rPr>
        <w:t xml:space="preserve">%), </w:t>
      </w:r>
      <w:r w:rsidR="00054904" w:rsidRPr="00054904">
        <w:t>на «Национальную экономику</w:t>
      </w:r>
      <w:r w:rsidR="00054904">
        <w:t>»</w:t>
      </w:r>
      <w:r w:rsidR="00054904" w:rsidRPr="00054904">
        <w:t xml:space="preserve"> - </w:t>
      </w:r>
      <w:r w:rsidR="006C441B">
        <w:t>761,3</w:t>
      </w:r>
      <w:r w:rsidR="00054904" w:rsidRPr="00054904">
        <w:t xml:space="preserve"> тыс. руб. (-</w:t>
      </w:r>
      <w:r w:rsidR="006C441B">
        <w:t>67,3</w:t>
      </w:r>
      <w:r w:rsidR="00054904" w:rsidRPr="00054904">
        <w:t xml:space="preserve">%), </w:t>
      </w:r>
      <w:r w:rsidR="0084197B" w:rsidRPr="00054904">
        <w:t xml:space="preserve">на «Жилищно-коммунальное хозяйство» - </w:t>
      </w:r>
      <w:r w:rsidR="006C441B">
        <w:t>206,4</w:t>
      </w:r>
      <w:r w:rsidR="0084197B" w:rsidRPr="00054904">
        <w:t xml:space="preserve"> тыс. руб. (-</w:t>
      </w:r>
      <w:r w:rsidR="00A31843">
        <w:t>50,5</w:t>
      </w:r>
      <w:r w:rsidR="0084197B" w:rsidRPr="00054904">
        <w:t xml:space="preserve">%), на </w:t>
      </w:r>
      <w:r w:rsidRPr="00054904">
        <w:t xml:space="preserve">«Культуру, кинематографию» </w:t>
      </w:r>
      <w:r w:rsidR="00453CC4" w:rsidRPr="00054904">
        <w:rPr>
          <w:snapToGrid w:val="0"/>
        </w:rPr>
        <w:t>-</w:t>
      </w:r>
      <w:r w:rsidR="00054904" w:rsidRPr="00054904">
        <w:rPr>
          <w:snapToGrid w:val="0"/>
        </w:rPr>
        <w:t xml:space="preserve"> </w:t>
      </w:r>
      <w:r w:rsidR="00A31843">
        <w:rPr>
          <w:snapToGrid w:val="0"/>
        </w:rPr>
        <w:t>178,4</w:t>
      </w:r>
      <w:r w:rsidRPr="00054904">
        <w:rPr>
          <w:snapToGrid w:val="0"/>
        </w:rPr>
        <w:t xml:space="preserve"> тыс.руб. (-</w:t>
      </w:r>
      <w:r w:rsidR="00A31843">
        <w:rPr>
          <w:snapToGrid w:val="0"/>
        </w:rPr>
        <w:t>9,2</w:t>
      </w:r>
      <w:r w:rsidR="00453CC4" w:rsidRPr="00054904">
        <w:rPr>
          <w:snapToGrid w:val="0"/>
        </w:rPr>
        <w:t>%)</w:t>
      </w:r>
      <w:r w:rsidR="003801FF" w:rsidRPr="00054904">
        <w:rPr>
          <w:snapToGrid w:val="0"/>
        </w:rPr>
        <w:t xml:space="preserve">, на «Социальную политику» - </w:t>
      </w:r>
      <w:r w:rsidR="00A31843">
        <w:rPr>
          <w:snapToGrid w:val="0"/>
        </w:rPr>
        <w:t>24,1</w:t>
      </w:r>
      <w:r w:rsidR="003801FF" w:rsidRPr="00054904">
        <w:rPr>
          <w:snapToGrid w:val="0"/>
        </w:rPr>
        <w:t xml:space="preserve"> тыс. руб. (-</w:t>
      </w:r>
      <w:r w:rsidR="00A31843">
        <w:rPr>
          <w:snapToGrid w:val="0"/>
        </w:rPr>
        <w:t>16,7</w:t>
      </w:r>
      <w:r w:rsidR="003801FF" w:rsidRPr="00054904">
        <w:rPr>
          <w:snapToGrid w:val="0"/>
        </w:rPr>
        <w:t>%)</w:t>
      </w:r>
      <w:r w:rsidRPr="00054904">
        <w:t>.</w:t>
      </w:r>
    </w:p>
    <w:p w:rsidR="006E6A73" w:rsidRDefault="00845C93" w:rsidP="00943230">
      <w:pPr>
        <w:widowControl w:val="0"/>
        <w:numPr>
          <w:ilvl w:val="12"/>
          <w:numId w:val="0"/>
        </w:numPr>
        <w:ind w:firstLine="567"/>
        <w:jc w:val="both"/>
      </w:pPr>
      <w:r>
        <w:t xml:space="preserve"> </w:t>
      </w:r>
    </w:p>
    <w:p w:rsidR="00845C93" w:rsidRDefault="00845C93" w:rsidP="00943230">
      <w:pPr>
        <w:widowControl w:val="0"/>
        <w:numPr>
          <w:ilvl w:val="12"/>
          <w:numId w:val="0"/>
        </w:numPr>
        <w:ind w:firstLine="567"/>
        <w:jc w:val="both"/>
      </w:pPr>
      <w:r>
        <w:t>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A31843" w:rsidP="007E2A34">
            <w:pPr>
              <w:widowControl w:val="0"/>
              <w:numPr>
                <w:ilvl w:val="12"/>
                <w:numId w:val="0"/>
              </w:numPr>
              <w:jc w:val="center"/>
              <w:rPr>
                <w:b/>
                <w:sz w:val="18"/>
                <w:szCs w:val="18"/>
              </w:rPr>
            </w:pPr>
            <w:r>
              <w:rPr>
                <w:b/>
                <w:sz w:val="18"/>
                <w:szCs w:val="18"/>
              </w:rPr>
              <w:t>6306,5</w:t>
            </w:r>
          </w:p>
        </w:tc>
        <w:tc>
          <w:tcPr>
            <w:tcW w:w="1701" w:type="dxa"/>
            <w:vAlign w:val="center"/>
          </w:tcPr>
          <w:p w:rsidR="00F2337E" w:rsidRPr="002A7EBC" w:rsidRDefault="00A31843"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2917,2</w:t>
            </w:r>
          </w:p>
        </w:tc>
        <w:tc>
          <w:tcPr>
            <w:tcW w:w="1701" w:type="dxa"/>
            <w:vAlign w:val="center"/>
          </w:tcPr>
          <w:p w:rsidR="00F2337E" w:rsidRPr="002A7EBC" w:rsidRDefault="00FD27A8" w:rsidP="007E2A34">
            <w:pPr>
              <w:jc w:val="center"/>
              <w:rPr>
                <w:sz w:val="18"/>
                <w:szCs w:val="18"/>
              </w:rPr>
            </w:pPr>
            <w:r>
              <w:rPr>
                <w:sz w:val="18"/>
                <w:szCs w:val="18"/>
              </w:rPr>
              <w:t>46,3</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FD27A8" w:rsidP="007E2A34">
            <w:pPr>
              <w:jc w:val="center"/>
              <w:rPr>
                <w:sz w:val="18"/>
                <w:szCs w:val="18"/>
              </w:rPr>
            </w:pPr>
            <w:r>
              <w:rPr>
                <w:sz w:val="18"/>
                <w:szCs w:val="18"/>
              </w:rPr>
              <w:t>2,2</w:t>
            </w:r>
          </w:p>
        </w:tc>
      </w:tr>
      <w:tr w:rsidR="00F2337E" w:rsidRPr="002A7EBC" w:rsidTr="002A7EBC">
        <w:tc>
          <w:tcPr>
            <w:tcW w:w="6345" w:type="dxa"/>
          </w:tcPr>
          <w:p w:rsidR="00F2337E" w:rsidRPr="002A7EBC" w:rsidRDefault="00F2337E" w:rsidP="00A31843">
            <w:pPr>
              <w:autoSpaceDE w:val="0"/>
              <w:autoSpaceDN w:val="0"/>
              <w:adjustRightInd w:val="0"/>
              <w:rPr>
                <w:sz w:val="18"/>
                <w:szCs w:val="18"/>
              </w:rPr>
            </w:pPr>
            <w:r w:rsidRPr="002A7EBC">
              <w:rPr>
                <w:sz w:val="18"/>
                <w:szCs w:val="18"/>
              </w:rPr>
              <w:t xml:space="preserve">Национальная </w:t>
            </w:r>
            <w:r w:rsidR="00A31843">
              <w:rPr>
                <w:sz w:val="18"/>
                <w:szCs w:val="18"/>
              </w:rPr>
              <w:t>безопасность и правоохранительная деятельность</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70</w:t>
            </w:r>
          </w:p>
        </w:tc>
        <w:tc>
          <w:tcPr>
            <w:tcW w:w="1701" w:type="dxa"/>
            <w:vAlign w:val="center"/>
          </w:tcPr>
          <w:p w:rsidR="00F2337E" w:rsidRPr="002A7EBC" w:rsidRDefault="00FD27A8" w:rsidP="007E2A34">
            <w:pPr>
              <w:jc w:val="center"/>
              <w:rPr>
                <w:sz w:val="18"/>
                <w:szCs w:val="18"/>
              </w:rPr>
            </w:pPr>
            <w:r>
              <w:rPr>
                <w:sz w:val="18"/>
                <w:szCs w:val="18"/>
              </w:rPr>
              <w:t>1,1</w:t>
            </w:r>
          </w:p>
        </w:tc>
      </w:tr>
      <w:tr w:rsidR="00A31843" w:rsidRPr="002A7EBC" w:rsidTr="002A7EBC">
        <w:tc>
          <w:tcPr>
            <w:tcW w:w="6345" w:type="dxa"/>
          </w:tcPr>
          <w:p w:rsidR="00A31843" w:rsidRPr="002A7EBC" w:rsidRDefault="00A31843" w:rsidP="00A31843">
            <w:pPr>
              <w:autoSpaceDE w:val="0"/>
              <w:autoSpaceDN w:val="0"/>
              <w:adjustRightInd w:val="0"/>
              <w:rPr>
                <w:sz w:val="18"/>
                <w:szCs w:val="18"/>
              </w:rPr>
            </w:pPr>
            <w:r>
              <w:rPr>
                <w:sz w:val="18"/>
                <w:szCs w:val="18"/>
              </w:rPr>
              <w:t xml:space="preserve">Национальная </w:t>
            </w:r>
            <w:r w:rsidRPr="002A7EBC">
              <w:rPr>
                <w:sz w:val="18"/>
                <w:szCs w:val="18"/>
              </w:rPr>
              <w:t>экономика</w:t>
            </w:r>
          </w:p>
        </w:tc>
        <w:tc>
          <w:tcPr>
            <w:tcW w:w="1701" w:type="dxa"/>
            <w:vAlign w:val="center"/>
          </w:tcPr>
          <w:p w:rsidR="00A31843" w:rsidRDefault="00A31843" w:rsidP="007E2A34">
            <w:pPr>
              <w:widowControl w:val="0"/>
              <w:numPr>
                <w:ilvl w:val="12"/>
                <w:numId w:val="0"/>
              </w:numPr>
              <w:jc w:val="center"/>
              <w:rPr>
                <w:sz w:val="18"/>
                <w:szCs w:val="18"/>
              </w:rPr>
            </w:pPr>
            <w:r>
              <w:rPr>
                <w:sz w:val="18"/>
                <w:szCs w:val="18"/>
              </w:rPr>
              <w:t>370,7</w:t>
            </w:r>
          </w:p>
        </w:tc>
        <w:tc>
          <w:tcPr>
            <w:tcW w:w="1701" w:type="dxa"/>
            <w:vAlign w:val="center"/>
          </w:tcPr>
          <w:p w:rsidR="00A31843" w:rsidRPr="002A7EBC" w:rsidRDefault="00FD27A8" w:rsidP="007E2A34">
            <w:pPr>
              <w:jc w:val="center"/>
              <w:rPr>
                <w:sz w:val="18"/>
                <w:szCs w:val="18"/>
              </w:rPr>
            </w:pPr>
            <w:r>
              <w:rPr>
                <w:sz w:val="18"/>
                <w:szCs w:val="18"/>
              </w:rPr>
              <w:t>5,9</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202,5</w:t>
            </w:r>
          </w:p>
        </w:tc>
        <w:tc>
          <w:tcPr>
            <w:tcW w:w="1701" w:type="dxa"/>
            <w:vAlign w:val="center"/>
          </w:tcPr>
          <w:p w:rsidR="00F2337E" w:rsidRPr="002A7EBC" w:rsidRDefault="00FD27A8" w:rsidP="007E2A34">
            <w:pPr>
              <w:jc w:val="center"/>
              <w:rPr>
                <w:sz w:val="18"/>
                <w:szCs w:val="18"/>
              </w:rPr>
            </w:pPr>
            <w:r>
              <w:rPr>
                <w:sz w:val="18"/>
                <w:szCs w:val="18"/>
              </w:rPr>
              <w:t>3,2</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1751,7</w:t>
            </w:r>
          </w:p>
        </w:tc>
        <w:tc>
          <w:tcPr>
            <w:tcW w:w="1701" w:type="dxa"/>
            <w:vAlign w:val="center"/>
          </w:tcPr>
          <w:p w:rsidR="00F2337E" w:rsidRPr="002A7EBC" w:rsidRDefault="00FD27A8" w:rsidP="007E2A34">
            <w:pPr>
              <w:jc w:val="center"/>
              <w:rPr>
                <w:sz w:val="18"/>
                <w:szCs w:val="18"/>
              </w:rPr>
            </w:pPr>
            <w:r>
              <w:rPr>
                <w:sz w:val="18"/>
                <w:szCs w:val="18"/>
              </w:rPr>
              <w:t>27,8</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Социальная политика</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120</w:t>
            </w:r>
          </w:p>
        </w:tc>
        <w:tc>
          <w:tcPr>
            <w:tcW w:w="1701" w:type="dxa"/>
            <w:vAlign w:val="center"/>
          </w:tcPr>
          <w:p w:rsidR="00F2337E" w:rsidRPr="002A7EBC" w:rsidRDefault="00FD27A8" w:rsidP="007E2A34">
            <w:pPr>
              <w:jc w:val="center"/>
              <w:rPr>
                <w:sz w:val="18"/>
                <w:szCs w:val="18"/>
              </w:rPr>
            </w:pPr>
            <w:r>
              <w:rPr>
                <w:sz w:val="18"/>
                <w:szCs w:val="18"/>
              </w:rPr>
              <w:t>1,9</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A31843"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A31843" w:rsidP="007E2A34">
            <w:pPr>
              <w:widowControl w:val="0"/>
              <w:numPr>
                <w:ilvl w:val="12"/>
                <w:numId w:val="0"/>
              </w:numPr>
              <w:jc w:val="center"/>
              <w:rPr>
                <w:sz w:val="18"/>
                <w:szCs w:val="18"/>
              </w:rPr>
            </w:pPr>
            <w:r>
              <w:rPr>
                <w:sz w:val="18"/>
                <w:szCs w:val="18"/>
              </w:rPr>
              <w:t>737</w:t>
            </w:r>
          </w:p>
        </w:tc>
        <w:tc>
          <w:tcPr>
            <w:tcW w:w="1701" w:type="dxa"/>
            <w:vAlign w:val="center"/>
          </w:tcPr>
          <w:p w:rsidR="00F2337E" w:rsidRPr="002A7EBC" w:rsidRDefault="00FD27A8" w:rsidP="007E2A34">
            <w:pPr>
              <w:jc w:val="center"/>
              <w:rPr>
                <w:sz w:val="18"/>
                <w:szCs w:val="18"/>
              </w:rPr>
            </w:pPr>
            <w:r>
              <w:rPr>
                <w:sz w:val="18"/>
                <w:szCs w:val="18"/>
              </w:rPr>
              <w:t>11,6</w:t>
            </w:r>
          </w:p>
        </w:tc>
      </w:tr>
    </w:tbl>
    <w:p w:rsidR="00943230" w:rsidRDefault="00943230" w:rsidP="00BA6C68">
      <w:pPr>
        <w:widowControl w:val="0"/>
        <w:numPr>
          <w:ilvl w:val="12"/>
          <w:numId w:val="0"/>
        </w:numPr>
        <w:ind w:firstLine="567"/>
        <w:jc w:val="both"/>
        <w:rPr>
          <w:u w:val="single"/>
        </w:rPr>
      </w:pPr>
    </w:p>
    <w:p w:rsidR="00D92D96" w:rsidRPr="00734C10" w:rsidRDefault="00D92D96" w:rsidP="00BA6C68">
      <w:pPr>
        <w:widowControl w:val="0"/>
        <w:numPr>
          <w:ilvl w:val="12"/>
          <w:numId w:val="0"/>
        </w:numPr>
        <w:ind w:firstLine="567"/>
        <w:jc w:val="both"/>
        <w:rPr>
          <w:b/>
          <w:i/>
        </w:rPr>
      </w:pPr>
      <w:r w:rsidRPr="00734C10">
        <w:rPr>
          <w:b/>
          <w:i/>
        </w:rPr>
        <w:t xml:space="preserve">КСК района отмечает, что Пояснительная записка ни по одному разделу расходов бюджета не содержит информации о мероприятиях (целях), которые планируются к финансированию на 2021 год и на плановый период 2022 и 2023 годов.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BA0EC3">
        <w:t>2917,2</w:t>
      </w:r>
      <w:r w:rsidRPr="00595634">
        <w:t xml:space="preserve"> тыс.руб., </w:t>
      </w:r>
      <w:r w:rsidR="00DC2F83">
        <w:t>со снижением</w:t>
      </w:r>
      <w:r w:rsidRPr="00595634">
        <w:t xml:space="preserve"> на </w:t>
      </w:r>
      <w:r w:rsidR="00BA0EC3">
        <w:t>485,1</w:t>
      </w:r>
      <w:r w:rsidRPr="00595634">
        <w:t xml:space="preserve"> тыс.руб. </w:t>
      </w:r>
      <w:r w:rsidR="00B931F8" w:rsidRPr="00595634">
        <w:t>(-</w:t>
      </w:r>
      <w:r w:rsidR="00BA0EC3">
        <w:t>14,3</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BA0EC3">
        <w:t>46,3</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BA0EC3">
        <w:t>2669,2</w:t>
      </w:r>
      <w:r w:rsidRPr="00895EC4">
        <w:t xml:space="preserve"> тыс.руб.</w:t>
      </w:r>
      <w:r w:rsidR="00A315C2">
        <w:t xml:space="preserve"> и </w:t>
      </w:r>
      <w:r w:rsidR="00BA0EC3">
        <w:t>2482,9</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674005">
        <w:t>Лукиновского</w:t>
      </w:r>
      <w:r w:rsidR="0000549E">
        <w:t xml:space="preserve">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BA0EC3" w:rsidRDefault="00745D94" w:rsidP="00BA0EC3">
      <w:pPr>
        <w:autoSpaceDE w:val="0"/>
        <w:autoSpaceDN w:val="0"/>
        <w:adjustRightInd w:val="0"/>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Pr="00895EC4">
        <w:t xml:space="preserve"> г</w:t>
      </w:r>
      <w:r>
        <w:t>од установлены</w:t>
      </w:r>
      <w:r w:rsidRPr="00895EC4">
        <w:t xml:space="preserve"> расходы на обеспечение деятельности главы </w:t>
      </w:r>
      <w:r w:rsidR="00674005">
        <w:t>Лукиновского</w:t>
      </w:r>
      <w:r w:rsidR="0000549E">
        <w:t xml:space="preserve"> сельского поселения</w:t>
      </w:r>
      <w:r w:rsidRPr="00895EC4">
        <w:t xml:space="preserve"> в сумме </w:t>
      </w:r>
      <w:r w:rsidR="00BA0EC3">
        <w:t>775,9</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BA0EC3">
        <w:t>61,5</w:t>
      </w:r>
      <w:r w:rsidR="0071451C">
        <w:t xml:space="preserve"> </w:t>
      </w:r>
      <w:r w:rsidRPr="00895EC4">
        <w:t>тыс.руб. (</w:t>
      </w:r>
      <w:r w:rsidR="00F74BD4">
        <w:t>-</w:t>
      </w:r>
      <w:r w:rsidR="00BA0EC3">
        <w:t>7,3</w:t>
      </w:r>
      <w:r w:rsidRPr="00895EC4">
        <w:t>%)</w:t>
      </w:r>
      <w:r>
        <w:t xml:space="preserve"> к оценке ожидаемого исполнения расходов в 20</w:t>
      </w:r>
      <w:r w:rsidR="00F74BD4">
        <w:t>20</w:t>
      </w:r>
      <w:r>
        <w:t xml:space="preserve"> году</w:t>
      </w:r>
      <w:r w:rsidR="00F74BD4">
        <w:t xml:space="preserve">. </w:t>
      </w:r>
      <w:r w:rsidR="00BA0EC3" w:rsidRPr="00895EC4">
        <w:t xml:space="preserve">Расходы </w:t>
      </w:r>
      <w:r w:rsidR="00BA0EC3">
        <w:t>на</w:t>
      </w:r>
      <w:r w:rsidR="00BA0EC3" w:rsidRPr="00895EC4">
        <w:t xml:space="preserve"> 20</w:t>
      </w:r>
      <w:r w:rsidR="00BA0EC3">
        <w:t>22-2023</w:t>
      </w:r>
      <w:r w:rsidR="00BA0EC3" w:rsidRPr="00895EC4">
        <w:t xml:space="preserve"> г</w:t>
      </w:r>
      <w:r w:rsidR="00BA0EC3">
        <w:t>оды</w:t>
      </w:r>
      <w:r w:rsidR="00BA0EC3" w:rsidRPr="00895EC4">
        <w:t xml:space="preserve"> </w:t>
      </w:r>
      <w:r w:rsidR="00BA0EC3">
        <w:t>установлены</w:t>
      </w:r>
      <w:r w:rsidR="00BA0EC3" w:rsidRPr="00895EC4">
        <w:t xml:space="preserve"> в </w:t>
      </w:r>
      <w:r w:rsidR="00BA0EC3">
        <w:t>сумме</w:t>
      </w:r>
      <w:r w:rsidR="00BA0EC3" w:rsidRPr="00895EC4">
        <w:t xml:space="preserve"> </w:t>
      </w:r>
      <w:r w:rsidR="00BA0EC3">
        <w:t xml:space="preserve">666,7 </w:t>
      </w:r>
      <w:r w:rsidR="00BA0EC3" w:rsidRPr="00895EC4">
        <w:t>тыс. руб</w:t>
      </w:r>
      <w:r w:rsidR="00BA0EC3">
        <w:t xml:space="preserve">лей и 628,1 тыс. рублей, соответственно.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674005">
        <w:rPr>
          <w:rFonts w:ascii="Times New Roman" w:hAnsi="Times New Roman"/>
        </w:rPr>
        <w:t>Лукиновского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74005">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BA0EC3">
        <w:t>2134,6</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BA0EC3">
        <w:t>423,6</w:t>
      </w:r>
      <w:r>
        <w:t xml:space="preserve"> </w:t>
      </w:r>
      <w:r w:rsidRPr="00895EC4">
        <w:t>тыс.руб. (</w:t>
      </w:r>
      <w:r w:rsidR="003A2337">
        <w:t>-</w:t>
      </w:r>
      <w:r w:rsidR="00BA0EC3">
        <w:t>16,6</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BA0EC3">
        <w:t>1845,8</w:t>
      </w:r>
      <w:r w:rsidR="00C14808">
        <w:t xml:space="preserve"> </w:t>
      </w:r>
      <w:r w:rsidRPr="00895EC4">
        <w:t>тыс. руб</w:t>
      </w:r>
      <w:r w:rsidR="002116B1">
        <w:t xml:space="preserve">лей и </w:t>
      </w:r>
      <w:r w:rsidR="00BA0EC3">
        <w:t>1848,1</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sidR="00BA0EC3">
        <w:rPr>
          <w:rFonts w:ascii="Times New Roman" w:hAnsi="Times New Roman"/>
          <w:b w:val="0"/>
          <w:bCs w:val="0"/>
          <w:color w:val="auto"/>
          <w:sz w:val="24"/>
          <w:szCs w:val="24"/>
        </w:rPr>
        <w:t>150</w:t>
      </w:r>
      <w:r w:rsidRPr="00E82948">
        <w:rPr>
          <w:rFonts w:ascii="Times New Roman" w:hAnsi="Times New Roman"/>
          <w:b w:val="0"/>
          <w:bCs w:val="0"/>
          <w:color w:val="auto"/>
          <w:sz w:val="24"/>
          <w:szCs w:val="24"/>
        </w:rPr>
        <w:t xml:space="preserve"> тыс. рублей на проведение выборов главы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674005">
        <w:rPr>
          <w:rFonts w:ascii="Times New Roman" w:hAnsi="Times New Roman"/>
          <w:bCs/>
        </w:rPr>
        <w:t>Лукиновского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BA0EC3">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BA0EC3">
        <w:t>2,2</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BA0EC3" w:rsidRDefault="00BA0EC3" w:rsidP="00BA0EC3">
      <w:pPr>
        <w:autoSpaceDE w:val="0"/>
        <w:autoSpaceDN w:val="0"/>
        <w:adjustRightInd w:val="0"/>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Pr="00C06668">
        <w:rPr>
          <w:u w:val="single"/>
        </w:rPr>
        <w:t>подразделу 0310 «</w:t>
      </w:r>
      <w:r>
        <w:rPr>
          <w:u w:val="single"/>
        </w:rPr>
        <w:t>Защита населения и территории от чрезвычайных ситуаций природного и техногенного характера,</w:t>
      </w:r>
      <w:r w:rsidRPr="00C06668">
        <w:rPr>
          <w:u w:val="single"/>
        </w:rPr>
        <w:t xml:space="preserve"> пожарн</w:t>
      </w:r>
      <w:r>
        <w:rPr>
          <w:u w:val="single"/>
        </w:rPr>
        <w:t>ая</w:t>
      </w:r>
      <w:r w:rsidRPr="00C06668">
        <w:rPr>
          <w:u w:val="single"/>
        </w:rPr>
        <w:t xml:space="preserve"> безопасност</w:t>
      </w:r>
      <w:r>
        <w:rPr>
          <w:u w:val="single"/>
        </w:rPr>
        <w:t>ь</w:t>
      </w:r>
      <w:r w:rsidRPr="00C06668">
        <w:rPr>
          <w:u w:val="single"/>
        </w:rPr>
        <w:t>»</w:t>
      </w:r>
      <w:r>
        <w:t xml:space="preserve"> </w:t>
      </w:r>
      <w:r w:rsidRPr="00895EC4">
        <w:t xml:space="preserve">расходы </w:t>
      </w:r>
      <w:r>
        <w:t>на</w:t>
      </w:r>
      <w:r w:rsidRPr="00895EC4">
        <w:t xml:space="preserve"> 20</w:t>
      </w:r>
      <w:r>
        <w:t>21</w:t>
      </w:r>
      <w:r w:rsidRPr="00895EC4">
        <w:t xml:space="preserve"> г. </w:t>
      </w:r>
      <w:r>
        <w:t>установлены в сумме 70 тыс. руб., со снижением</w:t>
      </w:r>
      <w:r w:rsidRPr="00895EC4">
        <w:t xml:space="preserve"> на </w:t>
      </w:r>
      <w:r>
        <w:t>43,8</w:t>
      </w:r>
      <w:r w:rsidRPr="00895EC4">
        <w:t xml:space="preserve"> тыс.руб. (</w:t>
      </w:r>
      <w:r>
        <w:t>-38,5%</w:t>
      </w:r>
      <w:r w:rsidRPr="00895EC4">
        <w:t>)</w:t>
      </w:r>
      <w:r>
        <w:t xml:space="preserve"> к оценке 2020 года</w:t>
      </w:r>
      <w:r w:rsidRPr="00895EC4">
        <w:t xml:space="preserve">. Данные расходы составляют </w:t>
      </w:r>
      <w:r>
        <w:t>1,1</w:t>
      </w:r>
      <w:r w:rsidRPr="00895EC4">
        <w:t xml:space="preserve">% от общей суммы расходов </w:t>
      </w:r>
      <w:r>
        <w:t xml:space="preserve">местного </w:t>
      </w:r>
      <w:r w:rsidRPr="00895EC4">
        <w:t>бюджета на 20</w:t>
      </w:r>
      <w:r>
        <w:t>21</w:t>
      </w:r>
      <w:r w:rsidRPr="00895EC4">
        <w:t xml:space="preserve"> г</w:t>
      </w:r>
      <w:r>
        <w:t>од</w:t>
      </w:r>
      <w:r w:rsidRPr="00895EC4">
        <w:t xml:space="preserve">. Расходы </w:t>
      </w:r>
      <w:r>
        <w:t>на</w:t>
      </w:r>
      <w:r w:rsidRPr="00895EC4">
        <w:t xml:space="preserve"> 20</w:t>
      </w:r>
      <w:r>
        <w:t>22-2023 годы установлены</w:t>
      </w:r>
      <w:r w:rsidRPr="00BA0EC3">
        <w:t xml:space="preserve"> </w:t>
      </w:r>
      <w:r>
        <w:t xml:space="preserve">в </w:t>
      </w:r>
      <w:r w:rsidR="0030464B">
        <w:t>объеме</w:t>
      </w:r>
      <w:r>
        <w:t xml:space="preserve"> 64 тыс. руб. и </w:t>
      </w:r>
      <w:r w:rsidR="0030464B">
        <w:t>60</w:t>
      </w:r>
      <w:r>
        <w:t xml:space="preserve"> тыс. руб., соответственно.</w:t>
      </w:r>
    </w:p>
    <w:p w:rsidR="00BA0EC3" w:rsidRPr="004566BF" w:rsidRDefault="00BA0EC3" w:rsidP="00BA0EC3">
      <w:pPr>
        <w:autoSpaceDE w:val="0"/>
        <w:autoSpaceDN w:val="0"/>
        <w:adjustRightInd w:val="0"/>
        <w:ind w:firstLine="567"/>
        <w:jc w:val="both"/>
        <w:rPr>
          <w:i/>
        </w:rPr>
      </w:pPr>
      <w:r w:rsidRPr="004566BF">
        <w:rPr>
          <w:i/>
        </w:rPr>
        <w:t xml:space="preserve">КСК района отмечает, что в соответствии с Приказом Минфина России от 8 июня 2020 г. № 98н «О внесении изменений в приказ Министерства финансов Российской Федерации от 6 июня 2019 г. №85н «О Порядке формирования и применения кодов бюджетной классификации Российской Федерации, их структуре и принципах назначения» с 6 октября 2020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2021 г. (на 2021 г. и на плановый период 2022 и 2023 гг.),  в том числе </w:t>
      </w:r>
      <w:r w:rsidRPr="004566BF">
        <w:rPr>
          <w:b/>
          <w:i/>
        </w:rPr>
        <w:t>изменилось наименование подраздела 0310 «Защита населения и территории от чрезвычайных ситуаций природного и техногенного характера, пожарная безопасность»</w:t>
      </w:r>
      <w:r w:rsidRPr="004566BF">
        <w:rPr>
          <w:bCs/>
          <w:i/>
        </w:rPr>
        <w:t>. Требуется привести в соответствие наименование данного подраздела в   приложениях к проекту бюджета.</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9520B1">
        <w:t>1</w:t>
      </w:r>
      <w:r w:rsidR="002E1E04" w:rsidRPr="00595634">
        <w:t xml:space="preserve"> г. установлены в объеме </w:t>
      </w:r>
      <w:r w:rsidR="00D92D96">
        <w:t>370,7</w:t>
      </w:r>
      <w:r w:rsidR="002E1E04" w:rsidRPr="00595634">
        <w:t xml:space="preserve"> тыс.руб., что на </w:t>
      </w:r>
      <w:r w:rsidR="00D92D96">
        <w:t>541,3</w:t>
      </w:r>
      <w:r w:rsidR="002E1E04" w:rsidRPr="00595634">
        <w:t xml:space="preserve"> тыс.руб. </w:t>
      </w:r>
      <w:r w:rsidR="002E1E04">
        <w:t>(</w:t>
      </w:r>
      <w:r w:rsidR="009C1066">
        <w:t>-</w:t>
      </w:r>
      <w:r w:rsidR="00D92D96">
        <w:t>59,4</w:t>
      </w:r>
      <w:r w:rsidR="009520B1">
        <w:t>%</w:t>
      </w:r>
      <w:r w:rsidR="002E1E04" w:rsidRPr="00595634">
        <w:t xml:space="preserve">) </w:t>
      </w:r>
      <w:r w:rsidR="009C1066">
        <w:t>меньше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 г. Данные расходы составляют </w:t>
      </w:r>
      <w:r w:rsidR="00D92D96">
        <w:t>5,9</w:t>
      </w:r>
      <w:r w:rsidR="002E1E04" w:rsidRPr="00595634">
        <w:t xml:space="preserve">% от общей суммы расходов </w:t>
      </w:r>
      <w:r w:rsidR="002E1E04">
        <w:t xml:space="preserve">местного </w:t>
      </w:r>
      <w:r w:rsidR="002E1E04" w:rsidRPr="00595634">
        <w:t>бюджета на 20</w:t>
      </w:r>
      <w:r w:rsidR="002E1E04">
        <w:t>2</w:t>
      </w:r>
      <w:r w:rsidR="0034478D">
        <w:t>1</w:t>
      </w:r>
      <w:r w:rsidR="002E1E04" w:rsidRPr="00595634">
        <w:t xml:space="preserve"> г.</w:t>
      </w:r>
      <w:r w:rsidR="002E1E04" w:rsidRPr="00895EC4">
        <w:t xml:space="preserve"> 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D92D96">
        <w:t>385,8</w:t>
      </w:r>
      <w:r w:rsidR="002E1E04" w:rsidRPr="00895EC4">
        <w:t xml:space="preserve"> тыс.руб.</w:t>
      </w:r>
      <w:r w:rsidR="002E1E04">
        <w:t xml:space="preserve"> и </w:t>
      </w:r>
      <w:r w:rsidR="00D92D96">
        <w:t>410,7</w:t>
      </w:r>
      <w:r w:rsidR="0034478D">
        <w:t xml:space="preserve"> тыс. рублей, соответственно</w:t>
      </w:r>
      <w:r w:rsidR="002E1E04">
        <w:t>.</w:t>
      </w:r>
      <w:r w:rsidR="002E1E04" w:rsidRPr="00895EC4">
        <w:t xml:space="preserve"> </w:t>
      </w:r>
    </w:p>
    <w:p w:rsidR="009C1066" w:rsidRDefault="009C1066" w:rsidP="009C1066">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734C10" w:rsidRPr="000D1B29">
        <w:t xml:space="preserve"> </w:t>
      </w:r>
      <w:r w:rsidR="00745D94" w:rsidRPr="000D1B29">
        <w:t>установлены на 20</w:t>
      </w:r>
      <w:r w:rsidR="00000501">
        <w:t>2</w:t>
      </w:r>
      <w:r w:rsidR="00B246DB">
        <w:t>1</w:t>
      </w:r>
      <w:r w:rsidR="00D92D96">
        <w:t>-2023</w:t>
      </w:r>
      <w:r w:rsidR="00745D94" w:rsidRPr="000D1B29">
        <w:t xml:space="preserve"> </w:t>
      </w:r>
      <w:r w:rsidR="00D92D96">
        <w:t>г</w:t>
      </w:r>
      <w:r w:rsidR="00745D94" w:rsidRPr="000D1B29">
        <w:t xml:space="preserve">г. в сумме </w:t>
      </w:r>
      <w:r w:rsidR="00D92D96">
        <w:t>202,5</w:t>
      </w:r>
      <w:r w:rsidR="00745D94" w:rsidRPr="000D1B29">
        <w:t xml:space="preserve"> тыс.руб., </w:t>
      </w:r>
      <w:r w:rsidR="00D92D96">
        <w:t xml:space="preserve">ежегодно, </w:t>
      </w:r>
      <w:r w:rsidR="000D1B29">
        <w:t>с</w:t>
      </w:r>
      <w:r>
        <w:t>о</w:t>
      </w:r>
      <w:r w:rsidR="000D1B29">
        <w:t xml:space="preserve"> </w:t>
      </w:r>
      <w:r>
        <w:t>снижением</w:t>
      </w:r>
      <w:r w:rsidR="00745D94" w:rsidRPr="000D1B29">
        <w:t xml:space="preserve"> на </w:t>
      </w:r>
      <w:r w:rsidR="00D92D96">
        <w:t>206,4</w:t>
      </w:r>
      <w:r w:rsidR="00745D94" w:rsidRPr="000D1B29">
        <w:t xml:space="preserve"> тыс. руб. (</w:t>
      </w:r>
      <w:r>
        <w:t>-</w:t>
      </w:r>
      <w:r w:rsidR="00D92D96">
        <w:t>50,5</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Данные расходы составляют </w:t>
      </w:r>
      <w:r w:rsidR="00D92D96">
        <w:t>3,2</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w:t>
      </w:r>
    </w:p>
    <w:p w:rsidR="00734C10" w:rsidRDefault="00734C10" w:rsidP="00425074">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на 2021-2023 годы в сумме 202 тыс. руб. ежегодно.</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734C10">
        <w:t>1751,7</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734C10">
        <w:t>178,4</w:t>
      </w:r>
      <w:r w:rsidRPr="00096BA2">
        <w:t xml:space="preserve"> тыс.руб. (</w:t>
      </w:r>
      <w:r>
        <w:t>-</w:t>
      </w:r>
      <w:r w:rsidR="00734C10">
        <w:t>9,2</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734C10">
        <w:t>1587,9</w:t>
      </w:r>
      <w:r w:rsidR="000E6383">
        <w:t xml:space="preserve"> тыс. руб. и в сумме </w:t>
      </w:r>
      <w:r w:rsidR="00734C10">
        <w:t>1497,6</w:t>
      </w:r>
      <w:r w:rsidR="000E6383">
        <w:t xml:space="preserve"> тыс. руб.,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734C10">
        <w:t>27,8</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w:t>
      </w:r>
      <w:r w:rsidR="00CF6F2E">
        <w:t>1</w:t>
      </w:r>
      <w:r w:rsidR="00CB5BA2">
        <w:t>г.</w:t>
      </w:r>
      <w:r w:rsidRPr="00895EC4">
        <w:t xml:space="preserve"> в сумме </w:t>
      </w:r>
      <w:r w:rsidR="00CF6F2E">
        <w:t>120</w:t>
      </w:r>
      <w:r w:rsidRPr="00895EC4">
        <w:t xml:space="preserve"> тыс.руб.</w:t>
      </w:r>
      <w:r w:rsidR="00CB5BA2">
        <w:t>,</w:t>
      </w:r>
      <w:r w:rsidR="00CB5BA2" w:rsidRPr="00CB5BA2">
        <w:t xml:space="preserve"> </w:t>
      </w:r>
      <w:r w:rsidR="00CB5BA2">
        <w:t>с</w:t>
      </w:r>
      <w:r w:rsidR="00CF6F2E">
        <w:t>о</w:t>
      </w:r>
      <w:r w:rsidR="00CB5BA2">
        <w:t xml:space="preserve"> </w:t>
      </w:r>
      <w:r w:rsidR="00CF6F2E">
        <w:t>снижением</w:t>
      </w:r>
      <w:r w:rsidR="00CB5BA2">
        <w:t xml:space="preserve"> к оценке 20</w:t>
      </w:r>
      <w:r w:rsidR="00CF6F2E">
        <w:t>20</w:t>
      </w:r>
      <w:r w:rsidR="00CB5BA2">
        <w:t xml:space="preserve">г. на </w:t>
      </w:r>
      <w:r w:rsidR="00734C10">
        <w:t>24,1</w:t>
      </w:r>
      <w:r w:rsidR="00CF6F2E">
        <w:t xml:space="preserve"> тыс.руб. (-</w:t>
      </w:r>
      <w:r w:rsidR="00734C10">
        <w:t>16,7</w:t>
      </w:r>
      <w:r w:rsidR="00CB5BA2">
        <w:t>%)</w:t>
      </w:r>
      <w:r w:rsidRPr="00895EC4">
        <w:t xml:space="preserve">, </w:t>
      </w:r>
      <w:r w:rsidR="00CB5BA2">
        <w:t>на 202</w:t>
      </w:r>
      <w:r w:rsidR="00CF6F2E">
        <w:t>2</w:t>
      </w:r>
      <w:r w:rsidR="00CB5BA2">
        <w:t xml:space="preserve">г. - </w:t>
      </w:r>
      <w:r w:rsidR="009C0446">
        <w:t>110</w:t>
      </w:r>
      <w:r w:rsidR="00CB5BA2">
        <w:t xml:space="preserve"> тыс. рублей</w:t>
      </w:r>
      <w:r w:rsidR="00A26B13">
        <w:t>,</w:t>
      </w:r>
      <w:r w:rsidR="00CB5BA2">
        <w:t xml:space="preserve"> на 202</w:t>
      </w:r>
      <w:r w:rsidR="00CF6F2E">
        <w:t>3</w:t>
      </w:r>
      <w:r w:rsidR="00CB5BA2">
        <w:t xml:space="preserve">г. – </w:t>
      </w:r>
      <w:r w:rsidR="00734C10">
        <w:t>103</w:t>
      </w:r>
      <w:r w:rsidR="00CB5BA2">
        <w:t xml:space="preserve"> тыс. руб.</w:t>
      </w:r>
    </w:p>
    <w:p w:rsidR="00745D9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734C10">
        <w:t>1,9</w:t>
      </w:r>
      <w:r w:rsidRPr="00895EC4">
        <w:t xml:space="preserve">% от общей суммы расходов </w:t>
      </w:r>
      <w:r>
        <w:t>местного</w:t>
      </w:r>
      <w:r w:rsidRPr="00895EC4">
        <w:t xml:space="preserve"> бюджета на 20</w:t>
      </w:r>
      <w:r w:rsidR="00CB5BA2">
        <w:t>2</w:t>
      </w:r>
      <w:r w:rsidR="00CF6F2E">
        <w:t>1</w:t>
      </w:r>
      <w:r w:rsidRPr="00895EC4">
        <w:t xml:space="preserve"> г</w:t>
      </w:r>
      <w:r>
        <w:t>од.</w:t>
      </w:r>
    </w:p>
    <w:p w:rsidR="00E602C1" w:rsidRPr="00E602C1" w:rsidRDefault="00E602C1" w:rsidP="00172D24">
      <w:pPr>
        <w:autoSpaceDE w:val="0"/>
        <w:autoSpaceDN w:val="0"/>
        <w:adjustRightInd w:val="0"/>
        <w:ind w:firstLine="567"/>
        <w:jc w:val="both"/>
      </w:pPr>
      <w:r w:rsidRPr="00E602C1">
        <w:t xml:space="preserve">В проекте бюджета на  2021 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B4551C">
        <w:t>737</w:t>
      </w:r>
      <w:r w:rsidR="00340449" w:rsidRPr="00895EC4">
        <w:t xml:space="preserve"> тыс.руб.</w:t>
      </w:r>
      <w:r w:rsidR="00340449">
        <w:t>,</w:t>
      </w:r>
      <w:r w:rsidR="00340449" w:rsidRPr="00CB5BA2">
        <w:t xml:space="preserve"> </w:t>
      </w:r>
      <w:r w:rsidR="00340449">
        <w:t xml:space="preserve">с ростом к оценке исполнения 2020г. на </w:t>
      </w:r>
      <w:r w:rsidR="00B4551C">
        <w:t>62,7</w:t>
      </w:r>
      <w:r w:rsidR="00340449">
        <w:t xml:space="preserve"> тыс.руб. (+9,</w:t>
      </w:r>
      <w:r w:rsidR="00B4551C">
        <w:t>3</w:t>
      </w:r>
      <w:r w:rsidR="00340449">
        <w:t>%)</w:t>
      </w:r>
      <w:r w:rsidR="00340449" w:rsidRPr="00895EC4">
        <w:t xml:space="preserve">, </w:t>
      </w:r>
      <w:r w:rsidR="00340449">
        <w:t xml:space="preserve">на 2022г. – </w:t>
      </w:r>
      <w:r w:rsidR="00B4551C">
        <w:t>753,7</w:t>
      </w:r>
      <w:r w:rsidR="00340449">
        <w:t xml:space="preserve"> тыс. рублей, на 2023г. – </w:t>
      </w:r>
      <w:r w:rsidR="00B4551C">
        <w:t>771</w:t>
      </w:r>
      <w:r w:rsidR="00340449">
        <w:t xml:space="preserve">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135,8</w:t>
      </w:r>
      <w:r w:rsidR="00EC29E3">
        <w:t xml:space="preserve"> тыс. руб.</w:t>
      </w:r>
      <w:r w:rsidR="00340449">
        <w:t xml:space="preserve"> (2021г.)</w:t>
      </w:r>
      <w:r w:rsidR="006C75F8">
        <w:t>,</w:t>
      </w:r>
      <w:r w:rsidR="00EC29E3">
        <w:t xml:space="preserve"> </w:t>
      </w:r>
      <w:r w:rsidR="00340449">
        <w:t xml:space="preserve">в сумме 141,2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B4551C">
        <w:t>601,2</w:t>
      </w:r>
      <w:r w:rsidR="00335D6E">
        <w:t xml:space="preserve"> тыс. руб. (2021г.), в сумме </w:t>
      </w:r>
      <w:r w:rsidR="00B4551C">
        <w:t xml:space="preserve">612,5 </w:t>
      </w:r>
      <w:r w:rsidR="00335D6E">
        <w:t xml:space="preserve">тыс. руб. (2022г.), в сумме </w:t>
      </w:r>
      <w:r w:rsidR="00B4551C">
        <w:t>629,8</w:t>
      </w:r>
      <w:r w:rsidR="00335D6E">
        <w:t xml:space="preserve"> тыс. руб.(2023г.).</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AA6CAD">
        <w:t>11,6</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950680" w:rsidRDefault="00950680" w:rsidP="003843A5">
      <w:pPr>
        <w:ind w:firstLine="567"/>
        <w:jc w:val="both"/>
      </w:pP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EE5AEF" w:rsidRPr="00AA04FE" w:rsidRDefault="00EE5AEF" w:rsidP="00C91429">
      <w:pPr>
        <w:pStyle w:val="BodyText21"/>
        <w:widowControl w:val="0"/>
        <w:numPr>
          <w:ilvl w:val="12"/>
          <w:numId w:val="0"/>
        </w:numPr>
        <w:ind w:firstLine="567"/>
        <w:jc w:val="center"/>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EE5AEF">
        <w:rPr>
          <w:b w:val="0"/>
          <w:sz w:val="24"/>
          <w:szCs w:val="24"/>
        </w:rPr>
        <w:t>20,6</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EE5AEF">
        <w:rPr>
          <w:b w:val="0"/>
          <w:sz w:val="24"/>
          <w:szCs w:val="24"/>
        </w:rPr>
        <w:t>21,3</w:t>
      </w:r>
      <w:r w:rsidRPr="00895EC4">
        <w:rPr>
          <w:b w:val="0"/>
          <w:sz w:val="24"/>
          <w:szCs w:val="24"/>
        </w:rPr>
        <w:t xml:space="preserve"> тыс. рублей и </w:t>
      </w:r>
      <w:r w:rsidR="00EE5AEF">
        <w:rPr>
          <w:b w:val="0"/>
          <w:sz w:val="24"/>
          <w:szCs w:val="24"/>
        </w:rPr>
        <w:t>22,3</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w:t>
      </w:r>
      <w:r w:rsidR="00EE5AEF">
        <w:rPr>
          <w:b w:val="0"/>
          <w:sz w:val="24"/>
          <w:szCs w:val="24"/>
        </w:rPr>
        <w:t>4</w:t>
      </w:r>
      <w:r w:rsidR="00424510">
        <w:rPr>
          <w:b w:val="0"/>
          <w:sz w:val="24"/>
          <w:szCs w:val="24"/>
        </w:rPr>
        <w:t>%</w:t>
      </w:r>
      <w:r w:rsidR="0007456A">
        <w:rPr>
          <w:b w:val="0"/>
          <w:sz w:val="24"/>
          <w:szCs w:val="24"/>
        </w:rPr>
        <w:t xml:space="preserve"> </w:t>
      </w:r>
      <w:r w:rsidR="005174A6">
        <w:rPr>
          <w:b w:val="0"/>
          <w:sz w:val="24"/>
          <w:szCs w:val="24"/>
        </w:rPr>
        <w:t>(2021г.), 3,7</w:t>
      </w:r>
      <w:r w:rsidR="00EE5AEF">
        <w:rPr>
          <w:b w:val="0"/>
          <w:sz w:val="24"/>
          <w:szCs w:val="24"/>
        </w:rPr>
        <w:t>3</w:t>
      </w:r>
      <w:r w:rsidR="005174A6">
        <w:rPr>
          <w:b w:val="0"/>
          <w:sz w:val="24"/>
          <w:szCs w:val="24"/>
        </w:rPr>
        <w:t>% (202</w:t>
      </w:r>
      <w:r w:rsidR="00EE5AEF">
        <w:rPr>
          <w:b w:val="0"/>
          <w:sz w:val="24"/>
          <w:szCs w:val="24"/>
        </w:rPr>
        <w:t>2</w:t>
      </w:r>
      <w:r w:rsidR="005174A6">
        <w:rPr>
          <w:b w:val="0"/>
          <w:sz w:val="24"/>
          <w:szCs w:val="24"/>
        </w:rPr>
        <w:t>г.)</w:t>
      </w:r>
      <w:r w:rsidR="00EE5AEF">
        <w:rPr>
          <w:b w:val="0"/>
          <w:sz w:val="24"/>
          <w:szCs w:val="24"/>
        </w:rPr>
        <w:t xml:space="preserve">, 3,75% (2023г.) </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674005">
        <w:rPr>
          <w:b w:val="0"/>
          <w:sz w:val="24"/>
          <w:szCs w:val="24"/>
        </w:rPr>
        <w:t>Лукиновского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674005">
        <w:rPr>
          <w:b w:val="0"/>
          <w:sz w:val="24"/>
          <w:szCs w:val="24"/>
        </w:rPr>
        <w:t>Лукиновского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045A16">
        <w:rPr>
          <w:b w:val="0"/>
          <w:sz w:val="24"/>
          <w:szCs w:val="24"/>
        </w:rPr>
        <w:t>20,6</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045A16">
        <w:rPr>
          <w:b w:val="0"/>
          <w:sz w:val="24"/>
          <w:szCs w:val="24"/>
        </w:rPr>
        <w:t>41,9</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045A16">
        <w:rPr>
          <w:b w:val="0"/>
          <w:sz w:val="24"/>
          <w:szCs w:val="24"/>
        </w:rPr>
        <w:t>64,2</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674005">
        <w:rPr>
          <w:b w:val="0"/>
          <w:sz w:val="24"/>
          <w:szCs w:val="24"/>
        </w:rPr>
        <w:t>Лукиновского</w:t>
      </w:r>
      <w:r w:rsidR="0000549E">
        <w:rPr>
          <w:b w:val="0"/>
          <w:sz w:val="24"/>
          <w:szCs w:val="24"/>
        </w:rPr>
        <w:t xml:space="preserve"> сельского поселения</w:t>
      </w:r>
      <w:r w:rsidRPr="00895EC4">
        <w:rPr>
          <w:b w:val="0"/>
          <w:sz w:val="24"/>
          <w:szCs w:val="24"/>
        </w:rPr>
        <w:t xml:space="preserve"> «О бюджете </w:t>
      </w:r>
      <w:r w:rsidR="00674005">
        <w:rPr>
          <w:b w:val="0"/>
          <w:sz w:val="24"/>
          <w:szCs w:val="24"/>
        </w:rPr>
        <w:t>Лукиновского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045A16">
        <w:rPr>
          <w:b w:val="0"/>
          <w:sz w:val="24"/>
          <w:szCs w:val="24"/>
        </w:rPr>
        <w:t>270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045A16">
        <w:rPr>
          <w:b w:val="0"/>
          <w:sz w:val="24"/>
          <w:szCs w:val="24"/>
        </w:rPr>
        <w:t>280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w:t>
      </w:r>
      <w:r w:rsidR="00045A16">
        <w:rPr>
          <w:b w:val="0"/>
          <w:sz w:val="24"/>
          <w:szCs w:val="24"/>
        </w:rPr>
        <w:t>290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9A4C69">
        <w:rPr>
          <w:b w:val="0"/>
          <w:sz w:val="24"/>
          <w:szCs w:val="24"/>
        </w:rPr>
        <w:t>Лукиновским</w:t>
      </w:r>
      <w:r w:rsidR="00153859">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674005" w:rsidRPr="009D21FF">
        <w:t>Лукиновского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2021 год и плановый период 2022 и 2023 годов</w:t>
      </w:r>
      <w:r w:rsidR="009E6291" w:rsidRPr="009D21FF">
        <w:t xml:space="preserve">» внесен на рассмотрение в Думу </w:t>
      </w:r>
      <w:r w:rsidR="00674005" w:rsidRPr="009D21FF">
        <w:t>Лукиновского</w:t>
      </w:r>
      <w:r w:rsidR="0000549E" w:rsidRPr="009D21FF">
        <w:t xml:space="preserve"> сельского поселения</w:t>
      </w:r>
      <w:r w:rsidR="009E6291" w:rsidRPr="009D21FF">
        <w:t xml:space="preserve"> в срок, установленный действующим законодательством.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2021 год и плановый период 2022</w:t>
      </w:r>
      <w:r w:rsidR="004E3333" w:rsidRPr="009D21FF">
        <w:t xml:space="preserve"> и </w:t>
      </w:r>
      <w:r w:rsidR="00BF73BD" w:rsidRPr="009D21FF">
        <w:t>2023 годов</w:t>
      </w:r>
      <w:r w:rsidR="00E771B2" w:rsidRPr="009D21FF">
        <w:t xml:space="preserve">: общий объем доходов, общий объем расходов, дефицит бюджета. </w:t>
      </w:r>
    </w:p>
    <w:p w:rsidR="00E771B2" w:rsidRPr="009D21FF" w:rsidRDefault="009E6291" w:rsidP="00BA6C68">
      <w:pPr>
        <w:ind w:firstLine="567"/>
        <w:jc w:val="both"/>
      </w:pPr>
      <w:r w:rsidRPr="009D21FF">
        <w:t xml:space="preserve">3. </w:t>
      </w:r>
      <w:r w:rsidR="00E771B2" w:rsidRPr="009D21FF">
        <w:t xml:space="preserve">В целом, документы и материалы </w:t>
      </w:r>
      <w:r w:rsidR="00B57DA6" w:rsidRPr="009D21FF">
        <w:t>к</w:t>
      </w:r>
      <w:r w:rsidR="00E771B2" w:rsidRPr="009D21FF">
        <w:t xml:space="preserve"> проект</w:t>
      </w:r>
      <w:r w:rsidR="00B57DA6" w:rsidRPr="009D21FF">
        <w:t>у</w:t>
      </w:r>
      <w:r w:rsidR="00E771B2" w:rsidRPr="009D21FF">
        <w:t xml:space="preserve"> бюджета представлены в полном объеме, в соответствии со статьей 184.2. БК</w:t>
      </w:r>
      <w:r w:rsidR="00E771B2" w:rsidRPr="009D21FF">
        <w:rPr>
          <w:vertAlign w:val="superscript"/>
        </w:rPr>
        <w:t xml:space="preserve"> </w:t>
      </w:r>
      <w:r w:rsidR="00E771B2" w:rsidRPr="009D21FF">
        <w:t>РФ.</w:t>
      </w:r>
    </w:p>
    <w:p w:rsidR="00601385" w:rsidRPr="009D21FF" w:rsidRDefault="009E6291" w:rsidP="00601385">
      <w:pPr>
        <w:autoSpaceDE w:val="0"/>
        <w:autoSpaceDN w:val="0"/>
        <w:adjustRightInd w:val="0"/>
        <w:ind w:firstLine="567"/>
        <w:jc w:val="both"/>
      </w:pPr>
      <w:r w:rsidRPr="009D21FF">
        <w:t>4</w:t>
      </w:r>
      <w:r w:rsidR="00E771B2" w:rsidRPr="009D21FF">
        <w:t xml:space="preserve">.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61045A" w:rsidRPr="009D21FF" w:rsidRDefault="00812723" w:rsidP="00DB76FB">
      <w:pPr>
        <w:autoSpaceDE w:val="0"/>
        <w:autoSpaceDN w:val="0"/>
        <w:adjustRightInd w:val="0"/>
        <w:ind w:firstLine="567"/>
        <w:jc w:val="both"/>
      </w:pPr>
      <w:r w:rsidRPr="009D21FF">
        <w:t>5.</w:t>
      </w:r>
      <w:r w:rsidR="00B57DA6" w:rsidRPr="009D21FF">
        <w:t xml:space="preserve"> </w:t>
      </w:r>
      <w:r w:rsidR="00B11D3A" w:rsidRPr="009D21FF">
        <w:t>В нарушение требований абзаца 2 пункта 4 статьи 173 БК РФ  пояснительная записка к Прогнозу социально-экономического развития Лукиновского МО на 2021-2023гг. не содержит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D5345" w:rsidRPr="005D5345" w:rsidRDefault="005D5345" w:rsidP="00DB76FB">
      <w:pPr>
        <w:tabs>
          <w:tab w:val="left" w:pos="709"/>
        </w:tabs>
        <w:ind w:firstLine="567"/>
        <w:jc w:val="both"/>
      </w:pPr>
      <w:r w:rsidRPr="009D21FF">
        <w:t xml:space="preserve">6. 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 установлены коды доходов в </w:t>
      </w:r>
      <w:r w:rsidR="00B57DA6" w:rsidRPr="009D21FF">
        <w:t>Реестр</w:t>
      </w:r>
      <w:r w:rsidRPr="009D21FF">
        <w:t>е</w:t>
      </w:r>
      <w:r w:rsidR="00B57DA6" w:rsidRPr="009D21FF">
        <w:t xml:space="preserve"> источников доходов </w:t>
      </w:r>
      <w:r w:rsidR="00674005" w:rsidRPr="009D21FF">
        <w:t>Лукиновского</w:t>
      </w:r>
      <w:r w:rsidRPr="009D21FF">
        <w:t xml:space="preserve"> сельского поселения на 2021 год и плановый период 2022 и 2023 годов.</w:t>
      </w:r>
      <w:r w:rsidRPr="005D5345">
        <w:t xml:space="preserve"> </w:t>
      </w:r>
    </w:p>
    <w:p w:rsidR="009D21FF" w:rsidRPr="004E2BF3" w:rsidRDefault="003505DC" w:rsidP="009D21FF">
      <w:pPr>
        <w:autoSpaceDE w:val="0"/>
        <w:autoSpaceDN w:val="0"/>
        <w:adjustRightInd w:val="0"/>
        <w:ind w:firstLine="567"/>
        <w:jc w:val="both"/>
      </w:pPr>
      <w:r>
        <w:t xml:space="preserve">7. </w:t>
      </w:r>
      <w:r w:rsidR="009D21FF">
        <w:t xml:space="preserve">Приложения к проекту бюджета нуждаются в доработке в части приведения наименований разделов (подразделов) классификации расходов бюджетов в соответствие </w:t>
      </w:r>
      <w:r w:rsidR="009D21FF" w:rsidRPr="004E2BF3">
        <w:t>с 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74005">
        <w:t>Лукиновского</w:t>
      </w:r>
      <w:r>
        <w:t xml:space="preserve"> сельского поселения</w:t>
      </w:r>
      <w:r w:rsidRPr="00521E70">
        <w:t xml:space="preserve"> «О бюджете </w:t>
      </w:r>
      <w:r w:rsidR="00674005">
        <w:t>Лукиновского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9F" w:rsidRDefault="00E4699F" w:rsidP="00645CD8">
      <w:r>
        <w:separator/>
      </w:r>
    </w:p>
  </w:endnote>
  <w:endnote w:type="continuationSeparator" w:id="1">
    <w:p w:rsidR="00E4699F" w:rsidRDefault="00E4699F"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9F" w:rsidRDefault="00E4699F" w:rsidP="00645CD8">
      <w:r>
        <w:separator/>
      </w:r>
    </w:p>
  </w:footnote>
  <w:footnote w:type="continuationSeparator" w:id="1">
    <w:p w:rsidR="00E4699F" w:rsidRDefault="00E4699F"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4" w:rsidRDefault="000D1B01" w:rsidP="002B637C">
    <w:pPr>
      <w:pStyle w:val="aff2"/>
      <w:framePr w:wrap="around" w:vAnchor="text" w:hAnchor="margin" w:xAlign="right" w:y="1"/>
      <w:rPr>
        <w:rStyle w:val="aff4"/>
      </w:rPr>
    </w:pPr>
    <w:r>
      <w:rPr>
        <w:rStyle w:val="aff4"/>
      </w:rPr>
      <w:fldChar w:fldCharType="begin"/>
    </w:r>
    <w:r w:rsidR="00A05BA4">
      <w:rPr>
        <w:rStyle w:val="aff4"/>
      </w:rPr>
      <w:instrText xml:space="preserve">PAGE  </w:instrText>
    </w:r>
    <w:r>
      <w:rPr>
        <w:rStyle w:val="aff4"/>
      </w:rPr>
      <w:fldChar w:fldCharType="end"/>
    </w:r>
  </w:p>
  <w:p w:rsidR="00A05BA4" w:rsidRDefault="00A05BA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4" w:rsidRDefault="000D1B01">
    <w:pPr>
      <w:pStyle w:val="aff2"/>
      <w:jc w:val="right"/>
    </w:pPr>
    <w:fldSimple w:instr=" PAGE   \* MERGEFORMAT ">
      <w:r w:rsidR="00E4699F">
        <w:rPr>
          <w:noProof/>
        </w:rPr>
        <w:t>1</w:t>
      </w:r>
    </w:fldSimple>
  </w:p>
  <w:p w:rsidR="00A05BA4" w:rsidRDefault="00A05BA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61C5"/>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01"/>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27A"/>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8EB"/>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19C5"/>
    <w:rsid w:val="002C33A8"/>
    <w:rsid w:val="002C413E"/>
    <w:rsid w:val="002C41F6"/>
    <w:rsid w:val="002C4A19"/>
    <w:rsid w:val="002C4AC9"/>
    <w:rsid w:val="002C5BA2"/>
    <w:rsid w:val="002D0DE1"/>
    <w:rsid w:val="002D21D4"/>
    <w:rsid w:val="002D2A24"/>
    <w:rsid w:val="002D4B0B"/>
    <w:rsid w:val="002D4ED3"/>
    <w:rsid w:val="002D68C0"/>
    <w:rsid w:val="002E1E04"/>
    <w:rsid w:val="002E2A41"/>
    <w:rsid w:val="002E2D37"/>
    <w:rsid w:val="002E44B4"/>
    <w:rsid w:val="002E46F5"/>
    <w:rsid w:val="002E5865"/>
    <w:rsid w:val="002E6276"/>
    <w:rsid w:val="002E63AF"/>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67FC"/>
    <w:rsid w:val="00317EFB"/>
    <w:rsid w:val="00321459"/>
    <w:rsid w:val="00321FDA"/>
    <w:rsid w:val="003223C5"/>
    <w:rsid w:val="00324772"/>
    <w:rsid w:val="00325613"/>
    <w:rsid w:val="003260BE"/>
    <w:rsid w:val="00331CFC"/>
    <w:rsid w:val="003324C6"/>
    <w:rsid w:val="00335D6E"/>
    <w:rsid w:val="00336FA6"/>
    <w:rsid w:val="00340449"/>
    <w:rsid w:val="00340627"/>
    <w:rsid w:val="00340FCD"/>
    <w:rsid w:val="003412ED"/>
    <w:rsid w:val="003415F2"/>
    <w:rsid w:val="00341658"/>
    <w:rsid w:val="003444E3"/>
    <w:rsid w:val="0034478D"/>
    <w:rsid w:val="0034491A"/>
    <w:rsid w:val="003459C9"/>
    <w:rsid w:val="00345EB5"/>
    <w:rsid w:val="0034756B"/>
    <w:rsid w:val="003505DC"/>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51AD"/>
    <w:rsid w:val="003D59F1"/>
    <w:rsid w:val="003D6522"/>
    <w:rsid w:val="003D7A7F"/>
    <w:rsid w:val="003E0888"/>
    <w:rsid w:val="003E2CB7"/>
    <w:rsid w:val="003E34D0"/>
    <w:rsid w:val="003E361A"/>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FCE"/>
    <w:rsid w:val="005C516D"/>
    <w:rsid w:val="005C5E39"/>
    <w:rsid w:val="005D1B99"/>
    <w:rsid w:val="005D1D37"/>
    <w:rsid w:val="005D2651"/>
    <w:rsid w:val="005D2957"/>
    <w:rsid w:val="005D2B37"/>
    <w:rsid w:val="005D3DB8"/>
    <w:rsid w:val="005D4863"/>
    <w:rsid w:val="005D51BA"/>
    <w:rsid w:val="005D5345"/>
    <w:rsid w:val="005E0975"/>
    <w:rsid w:val="005E0D36"/>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2708"/>
    <w:rsid w:val="0065324A"/>
    <w:rsid w:val="00653573"/>
    <w:rsid w:val="00655C9A"/>
    <w:rsid w:val="006568F3"/>
    <w:rsid w:val="00657F6C"/>
    <w:rsid w:val="006609B0"/>
    <w:rsid w:val="00661CE8"/>
    <w:rsid w:val="006641C7"/>
    <w:rsid w:val="00664C6F"/>
    <w:rsid w:val="00664D6E"/>
    <w:rsid w:val="006661C7"/>
    <w:rsid w:val="0066622A"/>
    <w:rsid w:val="0067155B"/>
    <w:rsid w:val="0067170B"/>
    <w:rsid w:val="00671E41"/>
    <w:rsid w:val="00672FF2"/>
    <w:rsid w:val="00674005"/>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3B52"/>
    <w:rsid w:val="006C441B"/>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FD0"/>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4B5"/>
    <w:rsid w:val="00747A28"/>
    <w:rsid w:val="00750B81"/>
    <w:rsid w:val="00750FE9"/>
    <w:rsid w:val="00754034"/>
    <w:rsid w:val="00754553"/>
    <w:rsid w:val="00755284"/>
    <w:rsid w:val="00757C44"/>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A026D"/>
    <w:rsid w:val="007A0B58"/>
    <w:rsid w:val="007A2A1D"/>
    <w:rsid w:val="007A3C29"/>
    <w:rsid w:val="007A415D"/>
    <w:rsid w:val="007A4543"/>
    <w:rsid w:val="007A46E0"/>
    <w:rsid w:val="007A4BE3"/>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E0FCE"/>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56C3"/>
    <w:rsid w:val="008066B8"/>
    <w:rsid w:val="00807797"/>
    <w:rsid w:val="0081052C"/>
    <w:rsid w:val="0081078F"/>
    <w:rsid w:val="00810CB9"/>
    <w:rsid w:val="00812723"/>
    <w:rsid w:val="0081511C"/>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7D1"/>
    <w:rsid w:val="00866176"/>
    <w:rsid w:val="0086643A"/>
    <w:rsid w:val="008668BB"/>
    <w:rsid w:val="0086724D"/>
    <w:rsid w:val="00872A33"/>
    <w:rsid w:val="00876304"/>
    <w:rsid w:val="00876772"/>
    <w:rsid w:val="008767DF"/>
    <w:rsid w:val="00877816"/>
    <w:rsid w:val="00882777"/>
    <w:rsid w:val="00882F43"/>
    <w:rsid w:val="00883644"/>
    <w:rsid w:val="008848D7"/>
    <w:rsid w:val="00884915"/>
    <w:rsid w:val="008860A5"/>
    <w:rsid w:val="008861EC"/>
    <w:rsid w:val="008878C6"/>
    <w:rsid w:val="0089141F"/>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26D2"/>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5EF4"/>
    <w:rsid w:val="00957686"/>
    <w:rsid w:val="00957F9E"/>
    <w:rsid w:val="0096011C"/>
    <w:rsid w:val="00960328"/>
    <w:rsid w:val="009607EA"/>
    <w:rsid w:val="0096168D"/>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21FF"/>
    <w:rsid w:val="009D2EE3"/>
    <w:rsid w:val="009D3F02"/>
    <w:rsid w:val="009D49F5"/>
    <w:rsid w:val="009E11A8"/>
    <w:rsid w:val="009E1269"/>
    <w:rsid w:val="009E2355"/>
    <w:rsid w:val="009E23C0"/>
    <w:rsid w:val="009E2BA5"/>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803F0"/>
    <w:rsid w:val="00A80410"/>
    <w:rsid w:val="00A80AD2"/>
    <w:rsid w:val="00A81033"/>
    <w:rsid w:val="00A81629"/>
    <w:rsid w:val="00A81FB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C3A"/>
    <w:rsid w:val="00AC5505"/>
    <w:rsid w:val="00AC5900"/>
    <w:rsid w:val="00AC60CD"/>
    <w:rsid w:val="00AC6751"/>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1F4C"/>
    <w:rsid w:val="00B4209A"/>
    <w:rsid w:val="00B42D18"/>
    <w:rsid w:val="00B453B4"/>
    <w:rsid w:val="00B4551C"/>
    <w:rsid w:val="00B45632"/>
    <w:rsid w:val="00B46BC6"/>
    <w:rsid w:val="00B47205"/>
    <w:rsid w:val="00B47615"/>
    <w:rsid w:val="00B479FC"/>
    <w:rsid w:val="00B47D0C"/>
    <w:rsid w:val="00B53312"/>
    <w:rsid w:val="00B538C4"/>
    <w:rsid w:val="00B54BB8"/>
    <w:rsid w:val="00B57DA6"/>
    <w:rsid w:val="00B60217"/>
    <w:rsid w:val="00B60932"/>
    <w:rsid w:val="00B61C9A"/>
    <w:rsid w:val="00B63354"/>
    <w:rsid w:val="00B63B2C"/>
    <w:rsid w:val="00B64080"/>
    <w:rsid w:val="00B650B6"/>
    <w:rsid w:val="00B651D5"/>
    <w:rsid w:val="00B666F9"/>
    <w:rsid w:val="00B67348"/>
    <w:rsid w:val="00B7038A"/>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E6B"/>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7B7F"/>
    <w:rsid w:val="00BC0A38"/>
    <w:rsid w:val="00BC0E9F"/>
    <w:rsid w:val="00BC1B6E"/>
    <w:rsid w:val="00BC1C17"/>
    <w:rsid w:val="00BC1F79"/>
    <w:rsid w:val="00BC5359"/>
    <w:rsid w:val="00BC5812"/>
    <w:rsid w:val="00BC5F45"/>
    <w:rsid w:val="00BC7E5C"/>
    <w:rsid w:val="00BD141F"/>
    <w:rsid w:val="00BD2F76"/>
    <w:rsid w:val="00BD3A8B"/>
    <w:rsid w:val="00BD3FA9"/>
    <w:rsid w:val="00BD4862"/>
    <w:rsid w:val="00BD6403"/>
    <w:rsid w:val="00BD66D7"/>
    <w:rsid w:val="00BD6739"/>
    <w:rsid w:val="00BD75B2"/>
    <w:rsid w:val="00BE19D3"/>
    <w:rsid w:val="00BE2561"/>
    <w:rsid w:val="00BE3FD2"/>
    <w:rsid w:val="00BE7A55"/>
    <w:rsid w:val="00BE7C00"/>
    <w:rsid w:val="00BF0BE8"/>
    <w:rsid w:val="00BF11EB"/>
    <w:rsid w:val="00BF2EFC"/>
    <w:rsid w:val="00BF30B7"/>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F"/>
    <w:rsid w:val="00C06668"/>
    <w:rsid w:val="00C06D4A"/>
    <w:rsid w:val="00C07058"/>
    <w:rsid w:val="00C07682"/>
    <w:rsid w:val="00C07706"/>
    <w:rsid w:val="00C11819"/>
    <w:rsid w:val="00C1365B"/>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0645"/>
    <w:rsid w:val="00D910D4"/>
    <w:rsid w:val="00D916FF"/>
    <w:rsid w:val="00D92996"/>
    <w:rsid w:val="00D92D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0D7"/>
    <w:rsid w:val="00E065F2"/>
    <w:rsid w:val="00E10AA7"/>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5F9A"/>
    <w:rsid w:val="00E468B7"/>
    <w:rsid w:val="00E4699F"/>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501A"/>
    <w:rsid w:val="00EB7435"/>
    <w:rsid w:val="00EB7B85"/>
    <w:rsid w:val="00EC153F"/>
    <w:rsid w:val="00EC1D0F"/>
    <w:rsid w:val="00EC29E3"/>
    <w:rsid w:val="00EC31E5"/>
    <w:rsid w:val="00EC5579"/>
    <w:rsid w:val="00EC77A8"/>
    <w:rsid w:val="00EC782F"/>
    <w:rsid w:val="00ED0273"/>
    <w:rsid w:val="00ED1A92"/>
    <w:rsid w:val="00ED250C"/>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5995"/>
    <w:rsid w:val="00F37CA0"/>
    <w:rsid w:val="00F37E88"/>
    <w:rsid w:val="00F402A9"/>
    <w:rsid w:val="00F4090D"/>
    <w:rsid w:val="00F424E8"/>
    <w:rsid w:val="00F42CD7"/>
    <w:rsid w:val="00F432F5"/>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7D1"/>
    <w:rsid w:val="00F94A85"/>
    <w:rsid w:val="00F94D93"/>
    <w:rsid w:val="00F95A36"/>
    <w:rsid w:val="00F95E62"/>
    <w:rsid w:val="00F9784E"/>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1D5C"/>
    <w:rsid w:val="00FC2C47"/>
    <w:rsid w:val="00FC33C5"/>
    <w:rsid w:val="00FC39B5"/>
    <w:rsid w:val="00FC3C40"/>
    <w:rsid w:val="00FC3FAF"/>
    <w:rsid w:val="00FC4FF0"/>
    <w:rsid w:val="00FC5033"/>
    <w:rsid w:val="00FC50B6"/>
    <w:rsid w:val="00FC79EC"/>
    <w:rsid w:val="00FC7A76"/>
    <w:rsid w:val="00FD1672"/>
    <w:rsid w:val="00FD1A8C"/>
    <w:rsid w:val="00FD27A8"/>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B118-BA7D-4346-A7E4-BAB91D0B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6937</Words>
  <Characters>39546</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Аудитор                                                                         </vt:lpstr>
    </vt:vector>
  </TitlesOfParts>
  <Company>*</Company>
  <LinksUpToDate>false</LinksUpToDate>
  <CharactersWithSpaces>46391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49</cp:revision>
  <cp:lastPrinted>2020-12-18T03:54:00Z</cp:lastPrinted>
  <dcterms:created xsi:type="dcterms:W3CDTF">2020-11-26T07:42:00Z</dcterms:created>
  <dcterms:modified xsi:type="dcterms:W3CDTF">2020-12-18T03:55:00Z</dcterms:modified>
</cp:coreProperties>
</file>