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DE1DF4" w:rsidP="00774830">
      <w:pPr>
        <w:pStyle w:val="a3"/>
        <w:tabs>
          <w:tab w:val="left" w:pos="0"/>
        </w:tabs>
        <w:autoSpaceDE/>
        <w:autoSpaceDN/>
        <w:spacing w:after="0"/>
        <w:ind w:firstLine="567"/>
        <w:jc w:val="both"/>
        <w:rPr>
          <w:sz w:val="24"/>
          <w:szCs w:val="24"/>
        </w:rPr>
      </w:pPr>
      <w:r>
        <w:rPr>
          <w:sz w:val="24"/>
          <w:szCs w:val="24"/>
        </w:rPr>
        <w:t>24</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D66AEA">
        <w:rPr>
          <w:sz w:val="24"/>
          <w:szCs w:val="24"/>
        </w:rPr>
        <w:t>1</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DE1DF4">
        <w:rPr>
          <w:sz w:val="24"/>
          <w:szCs w:val="24"/>
        </w:rPr>
        <w:t>52</w:t>
      </w:r>
      <w:r w:rsidR="004C2EA3" w:rsidRPr="00B57DA6">
        <w:rPr>
          <w:sz w:val="24"/>
          <w:szCs w:val="24"/>
        </w:rPr>
        <w:t>/20</w:t>
      </w:r>
      <w:r w:rsidR="00E91F69">
        <w:rPr>
          <w:sz w:val="24"/>
          <w:szCs w:val="24"/>
        </w:rPr>
        <w:t>2</w:t>
      </w:r>
      <w:r w:rsidR="007F7632">
        <w:rPr>
          <w:sz w:val="24"/>
          <w:szCs w:val="24"/>
        </w:rPr>
        <w:t>1</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1D1F44">
        <w:t>Усть-Илгинского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1D1F44">
        <w:rPr>
          <w:bCs/>
        </w:rPr>
        <w:t>Усть-Илгинского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1D1F44">
        <w:t>Усть-Илгинского</w:t>
      </w:r>
      <w:r w:rsidR="0000549E">
        <w:t xml:space="preserve"> сельского поселения</w:t>
      </w:r>
      <w:r w:rsidR="00462578" w:rsidRPr="00A621A3">
        <w:t xml:space="preserve"> «</w:t>
      </w:r>
      <w:r w:rsidR="00774830">
        <w:rPr>
          <w:bCs/>
        </w:rPr>
        <w:t xml:space="preserve">О бюджете </w:t>
      </w:r>
      <w:r w:rsidR="001D1F44">
        <w:rPr>
          <w:bCs/>
        </w:rPr>
        <w:t>Усть-Илгинского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1D1F44">
        <w:t>Усть-Илгинском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1D1F44">
        <w:t>8</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F7632">
        <w:rPr>
          <w:sz w:val="24"/>
          <w:szCs w:val="24"/>
        </w:rPr>
        <w:t>15</w:t>
      </w:r>
      <w:r w:rsidR="00BF0BE8" w:rsidRPr="00B9579E">
        <w:rPr>
          <w:sz w:val="24"/>
          <w:szCs w:val="24"/>
        </w:rPr>
        <w:t xml:space="preserve">.11.2020г. (вхд. № </w:t>
      </w:r>
      <w:r w:rsidR="001D1F44">
        <w:rPr>
          <w:sz w:val="24"/>
          <w:szCs w:val="24"/>
        </w:rPr>
        <w:t>109</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1D1F44" w:rsidRPr="00B9579E">
        <w:rPr>
          <w:sz w:val="24"/>
          <w:szCs w:val="24"/>
        </w:rPr>
        <w:t xml:space="preserve">установленных </w:t>
      </w:r>
      <w:r w:rsidR="001D1F44">
        <w:rPr>
          <w:sz w:val="24"/>
          <w:szCs w:val="24"/>
        </w:rPr>
        <w:t xml:space="preserve">статьями 22, 23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1D1F44">
        <w:rPr>
          <w:sz w:val="24"/>
          <w:szCs w:val="24"/>
        </w:rPr>
        <w:t>Усть-Илгинском</w:t>
      </w:r>
      <w:r w:rsidR="001D1F44" w:rsidRPr="00045A16">
        <w:rPr>
          <w:sz w:val="24"/>
          <w:szCs w:val="24"/>
        </w:rPr>
        <w:t xml:space="preserve"> муниципальном образовании</w:t>
      </w:r>
      <w:r w:rsidR="001D1F44">
        <w:rPr>
          <w:sz w:val="24"/>
          <w:szCs w:val="24"/>
        </w:rPr>
        <w:t>, утвержденного решением Думы Усть-Илгинского сельского поселения от 29.05.2020 № 65</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1D1F44">
        <w:rPr>
          <w:sz w:val="24"/>
          <w:szCs w:val="24"/>
        </w:rPr>
        <w:t>Усть-Илгинского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F7632">
        <w:t>2</w:t>
      </w:r>
      <w:r w:rsidR="00FB7382">
        <w:t xml:space="preserve"> год и на плановый период 20</w:t>
      </w:r>
      <w:r w:rsidR="00AF3A4B">
        <w:t>2</w:t>
      </w:r>
      <w:r w:rsidR="007F7632">
        <w:t>3</w:t>
      </w:r>
      <w:r w:rsidR="00FB7382">
        <w:t xml:space="preserve"> и 20</w:t>
      </w:r>
      <w:r w:rsidR="004068CA">
        <w:t>2</w:t>
      </w:r>
      <w:r w:rsidR="007F7632">
        <w:t>4</w:t>
      </w:r>
      <w:r w:rsidR="00FB7382">
        <w:t xml:space="preserve"> годов», </w:t>
      </w:r>
      <w:r w:rsidR="00FF306C" w:rsidRPr="0092797C">
        <w:t>проект</w:t>
      </w:r>
      <w:r w:rsidR="00FF306C">
        <w:t>а</w:t>
      </w:r>
      <w:r w:rsidR="00FF306C"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r w:rsidR="00FF306C">
        <w:t xml:space="preserve">, </w:t>
      </w:r>
      <w:r w:rsidR="00FB7382">
        <w:t xml:space="preserve">относящихся к планированию бюджета </w:t>
      </w:r>
      <w:r w:rsidR="001D1F44">
        <w:t>Усть-Илгинского</w:t>
      </w:r>
      <w:r w:rsidR="0000549E">
        <w:t xml:space="preserve"> </w:t>
      </w:r>
      <w:r w:rsidR="00D20F1A">
        <w:t>муниципального образования</w:t>
      </w:r>
      <w:r w:rsidR="006D0DD2">
        <w:t xml:space="preserve"> (далее – бюджет поселения)</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1D1F44">
        <w:t>Усть-Илгинского</w:t>
      </w:r>
      <w:r w:rsidR="0000549E">
        <w:t xml:space="preserve"> </w:t>
      </w:r>
      <w:r w:rsidR="00BB27A8">
        <w:t>муниципального образования</w:t>
      </w:r>
      <w:r w:rsidR="00050193">
        <w:t xml:space="preserve"> на 20</w:t>
      </w:r>
      <w:r w:rsidR="00BB27A8">
        <w:t>2</w:t>
      </w:r>
      <w:r w:rsidR="007F7632">
        <w:t>2</w:t>
      </w:r>
      <w:r w:rsidR="00050193">
        <w:t>-202</w:t>
      </w:r>
      <w:r w:rsidR="007F7632">
        <w:t>4</w:t>
      </w:r>
      <w:r w:rsidR="00050193">
        <w:t xml:space="preserve"> гг.</w:t>
      </w:r>
      <w:r w:rsidR="00FB7382">
        <w:t>,</w:t>
      </w:r>
      <w:r>
        <w:t xml:space="preserve"> одобренного постановлением администрации </w:t>
      </w:r>
      <w:r w:rsidR="001D1F44">
        <w:t>Усть-Илгинского</w:t>
      </w:r>
      <w:r>
        <w:t xml:space="preserve"> сельского поселения от </w:t>
      </w:r>
      <w:r w:rsidR="001D1F44">
        <w:t>11</w:t>
      </w:r>
      <w:r>
        <w:t>.11.2021 №</w:t>
      </w:r>
      <w:r w:rsidR="001D1F44">
        <w:t>29-од</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1D1F44">
        <w:t>Усть-Илгинского</w:t>
      </w:r>
      <w:r w:rsidR="0000549E">
        <w:t xml:space="preserve"> </w:t>
      </w:r>
      <w:r w:rsidR="009738D3">
        <w:t>муниципального образования</w:t>
      </w:r>
      <w:r w:rsidR="00BA727E">
        <w:t xml:space="preserve"> </w:t>
      </w:r>
      <w:r w:rsidR="00803359">
        <w:t>на 202</w:t>
      </w:r>
      <w:r w:rsidR="007F7632">
        <w:t>2</w:t>
      </w:r>
      <w:r w:rsidR="00803359">
        <w:t xml:space="preserve"> год и </w:t>
      </w:r>
      <w:r w:rsidR="00BB27A8">
        <w:t xml:space="preserve">на </w:t>
      </w:r>
      <w:r w:rsidR="00803359">
        <w:t>плановый период 202</w:t>
      </w:r>
      <w:r w:rsidR="007F7632">
        <w:t>3</w:t>
      </w:r>
      <w:r w:rsidR="00803359">
        <w:t xml:space="preserve"> и 202</w:t>
      </w:r>
      <w:r w:rsidR="007F7632">
        <w:t>4</w:t>
      </w:r>
      <w:r w:rsidR="00EA4684">
        <w:t xml:space="preserve"> годов</w:t>
      </w:r>
      <w:r w:rsidR="00EC58A1">
        <w:t xml:space="preserve">, утвержденных постановлением администрации </w:t>
      </w:r>
      <w:r w:rsidR="001D1F44">
        <w:t>Усть-Илгинского</w:t>
      </w:r>
      <w:r w:rsidR="00EC58A1">
        <w:t xml:space="preserve"> сельского поселения от </w:t>
      </w:r>
      <w:r w:rsidR="001D1F44">
        <w:t>11</w:t>
      </w:r>
      <w:r w:rsidR="00EC58A1">
        <w:t xml:space="preserve">.11.2021 № </w:t>
      </w:r>
      <w:r w:rsidR="001D1F44">
        <w:t>28-од</w:t>
      </w:r>
      <w:r w:rsidR="00126ADC">
        <w:t>.</w:t>
      </w:r>
    </w:p>
    <w:p w:rsidR="003F1064" w:rsidRPr="00452A2D" w:rsidRDefault="003F1064" w:rsidP="003F1064">
      <w:pPr>
        <w:autoSpaceDE w:val="0"/>
        <w:autoSpaceDN w:val="0"/>
        <w:adjustRightInd w:val="0"/>
        <w:ind w:firstLine="709"/>
        <w:jc w:val="both"/>
        <w:rPr>
          <w:i/>
        </w:rPr>
      </w:pPr>
      <w:r w:rsidRPr="00452A2D">
        <w:rPr>
          <w:i/>
        </w:rPr>
        <w:t>В нарушение требований ст. 184.2 БК РФ Администрацией Усть-Илгинского муниципального образования не представлены Предварительные итоги социально-</w:t>
      </w:r>
      <w:r w:rsidRPr="00452A2D">
        <w:rPr>
          <w:i/>
        </w:rPr>
        <w:lastRenderedPageBreak/>
        <w:t>экономического развития Усть-Илгинского сельского поселения за 9 месяцев 202</w:t>
      </w:r>
      <w:r>
        <w:rPr>
          <w:i/>
        </w:rPr>
        <w:t>1</w:t>
      </w:r>
      <w:r w:rsidRPr="00452A2D">
        <w:rPr>
          <w:i/>
        </w:rPr>
        <w:t xml:space="preserve"> года и ожидаемые итоги за текущий 202</w:t>
      </w:r>
      <w:r>
        <w:rPr>
          <w:i/>
        </w:rPr>
        <w:t>1</w:t>
      </w:r>
      <w:r w:rsidRPr="00452A2D">
        <w:rPr>
          <w:i/>
        </w:rPr>
        <w:t xml:space="preserve"> год.</w:t>
      </w:r>
    </w:p>
    <w:p w:rsidR="003F1064" w:rsidRDefault="003F1064" w:rsidP="003F1064">
      <w:pPr>
        <w:autoSpaceDE w:val="0"/>
        <w:autoSpaceDN w:val="0"/>
        <w:adjustRightInd w:val="0"/>
        <w:ind w:firstLine="709"/>
        <w:jc w:val="both"/>
      </w:pPr>
      <w:r>
        <w:t>Остальные документы и материалы представлены Администрацией Усть-Илгинского муниципального образования в соответствии с требованиями ст. 184.2 БК РФ:</w:t>
      </w:r>
    </w:p>
    <w:p w:rsidR="000D6AF8" w:rsidRPr="000D6AF8" w:rsidRDefault="00B5695F" w:rsidP="000D7663">
      <w:pPr>
        <w:autoSpaceDE w:val="0"/>
        <w:autoSpaceDN w:val="0"/>
        <w:adjustRightInd w:val="0"/>
        <w:ind w:firstLine="709"/>
        <w:jc w:val="both"/>
      </w:pPr>
      <w:bookmarkStart w:id="0" w:name="sub_18422"/>
      <w:r>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3F1064" w:rsidRPr="003F1064" w:rsidRDefault="00E8288D" w:rsidP="003F1064">
      <w:pPr>
        <w:ind w:firstLine="709"/>
        <w:jc w:val="both"/>
        <w:rPr>
          <w:i/>
        </w:rPr>
      </w:pPr>
      <w:r w:rsidRPr="003F1064">
        <w:rPr>
          <w:i/>
        </w:rPr>
        <w:t xml:space="preserve">1. </w:t>
      </w:r>
      <w:r w:rsidR="003F1064" w:rsidRPr="003F1064">
        <w:rPr>
          <w:i/>
        </w:rPr>
        <w:t xml:space="preserve">В нарушение требований абзаца 2 пункта 4 статьи 173 БК РФ </w:t>
      </w:r>
      <w:bookmarkStart w:id="3" w:name="sub_173402"/>
      <w:r w:rsidR="003F1064" w:rsidRPr="003F1064">
        <w:rPr>
          <w:i/>
        </w:rPr>
        <w:t>отсутствует пояснительная записка к Прогнозу, в которой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и указывается какой вариант Прогноза взят за основу (</w:t>
      </w:r>
      <w:r w:rsidR="003F1064" w:rsidRPr="003F1064">
        <w:rPr>
          <w:i/>
          <w:u w:val="single"/>
        </w:rPr>
        <w:t>данное нарушение повторяется неоднократно</w:t>
      </w:r>
      <w:r w:rsidR="003F1064" w:rsidRPr="003F1064">
        <w:rPr>
          <w:i/>
        </w:rPr>
        <w:t xml:space="preserve">: ЗАКЛЮЧЕНИЕ от 30.11.2020г. № 53/2020-э по результатам экспертизы проекта решения Думы Усть-Илгинского </w:t>
      </w:r>
      <w:r w:rsidR="003F1064" w:rsidRPr="003F1064">
        <w:rPr>
          <w:bCs/>
          <w:i/>
        </w:rPr>
        <w:t xml:space="preserve">сельского поселения </w:t>
      </w:r>
      <w:r w:rsidR="003F1064" w:rsidRPr="003F1064">
        <w:rPr>
          <w:i/>
        </w:rPr>
        <w:t>«</w:t>
      </w:r>
      <w:r w:rsidR="003F1064" w:rsidRPr="003F1064">
        <w:rPr>
          <w:bCs/>
          <w:i/>
        </w:rPr>
        <w:t xml:space="preserve">О бюджете Усть-Илгинского </w:t>
      </w:r>
      <w:r w:rsidR="003F1064" w:rsidRPr="003F1064">
        <w:rPr>
          <w:i/>
        </w:rPr>
        <w:t xml:space="preserve">муниципального образования </w:t>
      </w:r>
      <w:r w:rsidR="003F1064" w:rsidRPr="003F1064">
        <w:rPr>
          <w:bCs/>
          <w:i/>
        </w:rPr>
        <w:t>на 2021 год и плановый период 2022 и 2023 годов»)</w:t>
      </w:r>
      <w:r w:rsidR="003F1064" w:rsidRPr="003F1064">
        <w:rPr>
          <w:i/>
        </w:rPr>
        <w:t xml:space="preserve">. </w:t>
      </w:r>
    </w:p>
    <w:p w:rsidR="009D66F8" w:rsidRDefault="00D964FC" w:rsidP="000D7663">
      <w:pPr>
        <w:ind w:firstLine="709"/>
        <w:jc w:val="both"/>
        <w:rPr>
          <w:bCs/>
          <w:i/>
        </w:rPr>
      </w:pPr>
      <w:bookmarkStart w:id="4" w:name="sub_184202"/>
      <w:bookmarkEnd w:id="3"/>
      <w:r>
        <w:rPr>
          <w:bCs/>
          <w:i/>
        </w:rPr>
        <w:t>2</w:t>
      </w:r>
      <w:r w:rsidR="009D66F8">
        <w:rPr>
          <w:bCs/>
          <w:i/>
        </w:rPr>
        <w:t xml:space="preserve">. </w:t>
      </w:r>
      <w:r w:rsidR="009D66F8" w:rsidRPr="00E8288D">
        <w:rPr>
          <w:i/>
        </w:rPr>
        <w:t xml:space="preserve">В Реестре источников доходов бюджета </w:t>
      </w:r>
      <w:r w:rsidR="001D1F44">
        <w:rPr>
          <w:i/>
        </w:rPr>
        <w:t>Усть-Илгинского</w:t>
      </w:r>
      <w:r w:rsidR="009D66F8" w:rsidRPr="00E8288D">
        <w:rPr>
          <w:i/>
        </w:rPr>
        <w:t xml:space="preserve"> сельского поселения на 2022 год и плановый период 2023 и 2024 годов </w:t>
      </w:r>
      <w:r>
        <w:rPr>
          <w:i/>
        </w:rPr>
        <w:t xml:space="preserve">(далее – Реестр) </w:t>
      </w:r>
      <w:r w:rsidR="009D66F8" w:rsidRPr="00E8288D">
        <w:rPr>
          <w:i/>
        </w:rPr>
        <w:t>н</w:t>
      </w:r>
      <w:r w:rsidR="009D66F8" w:rsidRPr="00E8288D">
        <w:rPr>
          <w:i/>
          <w:u w:val="single"/>
        </w:rPr>
        <w:t>орматив зачислений</w:t>
      </w:r>
      <w:r w:rsidR="009D66F8" w:rsidRPr="00E8288D">
        <w:rPr>
          <w:i/>
        </w:rPr>
        <w:t xml:space="preserve"> в местный бюджет по акцизам по подакцизным товарам (продукции), производимым</w:t>
      </w:r>
      <w:r w:rsidR="009D66F8" w:rsidRPr="000F043A">
        <w:rPr>
          <w:i/>
        </w:rPr>
        <w:t xml:space="preserve"> на территории Российской Федерации (КБК </w:t>
      </w:r>
      <w:r w:rsidR="009D66F8">
        <w:rPr>
          <w:i/>
        </w:rPr>
        <w:t>100</w:t>
      </w:r>
      <w:r w:rsidR="009D66F8" w:rsidRPr="000F043A">
        <w:rPr>
          <w:i/>
        </w:rPr>
        <w:t xml:space="preserve"> 1 03 02000 01 0000 110) </w:t>
      </w:r>
      <w:r w:rsidR="009D66F8" w:rsidRPr="002E2D37">
        <w:rPr>
          <w:i/>
          <w:u w:val="single"/>
        </w:rPr>
        <w:t>установлен</w:t>
      </w:r>
      <w:r w:rsidR="00041CAE">
        <w:rPr>
          <w:i/>
          <w:u w:val="single"/>
        </w:rPr>
        <w:t xml:space="preserve"> в размере </w:t>
      </w:r>
      <w:r>
        <w:rPr>
          <w:i/>
          <w:u w:val="single"/>
        </w:rPr>
        <w:t>0,006</w:t>
      </w:r>
      <w:r w:rsidR="00041CAE">
        <w:rPr>
          <w:i/>
          <w:u w:val="single"/>
        </w:rPr>
        <w:t>%</w:t>
      </w:r>
      <w:r w:rsidR="009D66F8">
        <w:rPr>
          <w:i/>
        </w:rPr>
        <w:t xml:space="preserve">, </w:t>
      </w:r>
      <w:r w:rsidR="009D66F8" w:rsidRPr="000F043A">
        <w:rPr>
          <w:i/>
        </w:rPr>
        <w:t xml:space="preserve"> в соответствии </w:t>
      </w:r>
      <w:r w:rsidR="009D66F8">
        <w:rPr>
          <w:i/>
        </w:rPr>
        <w:t xml:space="preserve">со статьей </w:t>
      </w:r>
      <w:r w:rsidR="009D66F8" w:rsidRPr="00B7265E">
        <w:rPr>
          <w:i/>
        </w:rPr>
        <w:t>6</w:t>
      </w:r>
      <w:r w:rsidR="009D66F8">
        <w:rPr>
          <w:i/>
        </w:rPr>
        <w:t xml:space="preserve">1.5 БК РФ, </w:t>
      </w:r>
      <w:r w:rsidR="009D66F8" w:rsidRPr="000F043A">
        <w:rPr>
          <w:i/>
        </w:rPr>
        <w:t xml:space="preserve">пунктом </w:t>
      </w:r>
      <w:r w:rsidR="009D66F8">
        <w:rPr>
          <w:i/>
        </w:rPr>
        <w:t>3</w:t>
      </w:r>
      <w:r w:rsidR="009D66F8" w:rsidRPr="000F043A">
        <w:rPr>
          <w:i/>
        </w:rPr>
        <w:t xml:space="preserve"> статьи 3 проекта закона Иркутской области «Об областном </w:t>
      </w:r>
      <w:r w:rsidR="009D66F8">
        <w:rPr>
          <w:i/>
        </w:rPr>
        <w:t>б</w:t>
      </w:r>
      <w:r w:rsidR="009D66F8" w:rsidRPr="000F043A">
        <w:rPr>
          <w:i/>
        </w:rPr>
        <w:t>юджете на 202</w:t>
      </w:r>
      <w:r w:rsidR="009D66F8">
        <w:rPr>
          <w:i/>
        </w:rPr>
        <w:t>2</w:t>
      </w:r>
      <w:r w:rsidR="009D66F8" w:rsidRPr="000F043A">
        <w:rPr>
          <w:i/>
        </w:rPr>
        <w:t xml:space="preserve"> год и на плановый период 202</w:t>
      </w:r>
      <w:r w:rsidR="009D66F8">
        <w:rPr>
          <w:i/>
        </w:rPr>
        <w:t>3</w:t>
      </w:r>
      <w:r w:rsidR="009D66F8" w:rsidRPr="000F043A">
        <w:rPr>
          <w:i/>
        </w:rPr>
        <w:t xml:space="preserve"> и 202</w:t>
      </w:r>
      <w:r w:rsidR="009D66F8">
        <w:rPr>
          <w:i/>
        </w:rPr>
        <w:t>4</w:t>
      </w:r>
      <w:r w:rsidR="009D66F8" w:rsidRPr="000F043A">
        <w:rPr>
          <w:i/>
        </w:rPr>
        <w:t xml:space="preserve"> годов» дифференцированный нормативов отчислений в бюджет </w:t>
      </w:r>
      <w:r w:rsidR="001D1F44">
        <w:rPr>
          <w:i/>
        </w:rPr>
        <w:t>Усть-Илгинского</w:t>
      </w:r>
      <w:r w:rsidR="009D66F8"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9D66F8" w:rsidRPr="002E2D37">
        <w:rPr>
          <w:i/>
          <w:u w:val="single"/>
        </w:rPr>
        <w:t>в размере 0,00</w:t>
      </w:r>
      <w:r>
        <w:rPr>
          <w:i/>
          <w:u w:val="single"/>
        </w:rPr>
        <w:t>4</w:t>
      </w:r>
      <w:r w:rsidR="009D66F8" w:rsidRPr="002E2D37">
        <w:rPr>
          <w:i/>
          <w:u w:val="single"/>
        </w:rPr>
        <w:t>%</w:t>
      </w:r>
      <w:r w:rsidR="009D66F8" w:rsidRPr="000F043A">
        <w:rPr>
          <w:bCs/>
          <w:i/>
        </w:rPr>
        <w:t>.</w:t>
      </w:r>
    </w:p>
    <w:p w:rsidR="00C35F7D" w:rsidRDefault="002D3507" w:rsidP="000D7663">
      <w:pPr>
        <w:ind w:firstLine="709"/>
        <w:jc w:val="both"/>
        <w:rPr>
          <w:bCs/>
          <w:i/>
        </w:rPr>
      </w:pPr>
      <w:r>
        <w:rPr>
          <w:bCs/>
          <w:i/>
        </w:rPr>
        <w:t xml:space="preserve">3. </w:t>
      </w:r>
      <w:r w:rsidR="00C35F7D">
        <w:rPr>
          <w:bCs/>
          <w:i/>
        </w:rPr>
        <w:t xml:space="preserve">По графе 2 </w:t>
      </w:r>
      <w:r w:rsidR="00D964FC">
        <w:rPr>
          <w:bCs/>
          <w:i/>
        </w:rPr>
        <w:t xml:space="preserve">Реестра </w:t>
      </w:r>
      <w:r w:rsidR="00C35F7D">
        <w:rPr>
          <w:bCs/>
          <w:i/>
        </w:rPr>
        <w:t xml:space="preserve">«Норматив зачислений в </w:t>
      </w:r>
      <w:r w:rsidR="00D964FC">
        <w:rPr>
          <w:bCs/>
          <w:i/>
        </w:rPr>
        <w:t xml:space="preserve">местный </w:t>
      </w:r>
      <w:r w:rsidR="00C35F7D">
        <w:rPr>
          <w:bCs/>
          <w:i/>
        </w:rPr>
        <w:t>бюджет на 2021 год в процентах» Реестра следует изменить год «2021» на «2022».</w:t>
      </w:r>
    </w:p>
    <w:p w:rsidR="002D3507" w:rsidRDefault="002D3507" w:rsidP="002D3507">
      <w:pPr>
        <w:ind w:firstLine="709"/>
        <w:jc w:val="both"/>
        <w:rPr>
          <w:i/>
        </w:rPr>
      </w:pPr>
      <w:r>
        <w:rPr>
          <w:bCs/>
          <w:i/>
        </w:rPr>
        <w:t xml:space="preserve">4. </w:t>
      </w:r>
      <w:r w:rsidRPr="009D21FF">
        <w:rPr>
          <w:i/>
        </w:rPr>
        <w:t>В нарушение Приказа Минфина России от 8 июня 202</w:t>
      </w:r>
      <w:r>
        <w:rPr>
          <w:i/>
        </w:rPr>
        <w:t>1</w:t>
      </w:r>
      <w:r w:rsidRPr="009D21FF">
        <w:rPr>
          <w:i/>
        </w:rPr>
        <w:t> № </w:t>
      </w:r>
      <w:r>
        <w:rPr>
          <w:i/>
        </w:rPr>
        <w:t>75</w:t>
      </w:r>
      <w:r w:rsidRPr="009D21FF">
        <w:rPr>
          <w:i/>
        </w:rPr>
        <w:t>н «Об утверждении кодов (перечней кодов) бюджетной классификации Российской Федерации на 202</w:t>
      </w:r>
      <w:r>
        <w:rPr>
          <w:i/>
        </w:rPr>
        <w:t>2</w:t>
      </w:r>
      <w:r w:rsidRPr="009D21FF">
        <w:rPr>
          <w:i/>
        </w:rPr>
        <w:t> год (на 202</w:t>
      </w:r>
      <w:r>
        <w:rPr>
          <w:i/>
        </w:rPr>
        <w:t>2</w:t>
      </w:r>
      <w:r w:rsidRPr="009D21FF">
        <w:rPr>
          <w:i/>
        </w:rPr>
        <w:t> год и на плановый период 202</w:t>
      </w:r>
      <w:r>
        <w:rPr>
          <w:i/>
        </w:rPr>
        <w:t>3</w:t>
      </w:r>
      <w:r w:rsidRPr="009D21FF">
        <w:rPr>
          <w:i/>
        </w:rPr>
        <w:t xml:space="preserve"> и 202</w:t>
      </w:r>
      <w:r>
        <w:rPr>
          <w:i/>
        </w:rPr>
        <w:t>4</w:t>
      </w:r>
      <w:r w:rsidRPr="009D21FF">
        <w:rPr>
          <w:i/>
        </w:rPr>
        <w:t> годов)» установлены коды доходов, например:</w:t>
      </w:r>
    </w:p>
    <w:p w:rsidR="002D3507" w:rsidRDefault="002D3507" w:rsidP="002D3507">
      <w:pPr>
        <w:ind w:firstLine="709"/>
        <w:jc w:val="both"/>
        <w:rPr>
          <w:i/>
        </w:rPr>
      </w:pPr>
      <w:r>
        <w:rPr>
          <w:i/>
        </w:rPr>
        <w:t xml:space="preserve">- 100 1 03 02250 </w:t>
      </w:r>
      <w:r w:rsidRPr="005D7371">
        <w:rPr>
          <w:i/>
        </w:rPr>
        <w:t>01</w:t>
      </w:r>
      <w:r>
        <w:rPr>
          <w:i/>
        </w:rPr>
        <w:t xml:space="preserve"> </w:t>
      </w:r>
      <w:r w:rsidRPr="002D3507">
        <w:rPr>
          <w:i/>
        </w:rPr>
        <w:t>0000</w:t>
      </w:r>
      <w:r>
        <w:rPr>
          <w:i/>
        </w:rPr>
        <w:t xml:space="preserve"> 110 «</w:t>
      </w:r>
      <w:r w:rsidRPr="002D3507">
        <w:rPr>
          <w:i/>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i/>
        </w:rPr>
        <w:t xml:space="preserve">» (в Реестре источников </w:t>
      </w:r>
      <w:r w:rsidRPr="00171A79">
        <w:rPr>
          <w:i/>
        </w:rPr>
        <w:t>доходов не верно отражен</w:t>
      </w:r>
      <w:r w:rsidR="005D7371">
        <w:rPr>
          <w:i/>
        </w:rPr>
        <w:t>о</w:t>
      </w:r>
      <w:r w:rsidRPr="00171A79">
        <w:rPr>
          <w:i/>
        </w:rPr>
        <w:t xml:space="preserve"> </w:t>
      </w:r>
      <w:r>
        <w:rPr>
          <w:i/>
        </w:rPr>
        <w:t>его наименование</w:t>
      </w:r>
      <w:r w:rsidRPr="00171A79">
        <w:rPr>
          <w:i/>
        </w:rPr>
        <w:t>)</w:t>
      </w:r>
      <w:r w:rsidR="00332AAF">
        <w:rPr>
          <w:i/>
        </w:rPr>
        <w:t xml:space="preserve"> – следует привести в соответствие</w:t>
      </w:r>
      <w:r w:rsidRPr="00171A79">
        <w:rPr>
          <w:i/>
        </w:rPr>
        <w:t>;</w:t>
      </w:r>
    </w:p>
    <w:p w:rsidR="00332AAF" w:rsidRDefault="005D7371" w:rsidP="00332AAF">
      <w:pPr>
        <w:ind w:firstLine="709"/>
        <w:jc w:val="both"/>
        <w:rPr>
          <w:i/>
        </w:rPr>
      </w:pPr>
      <w:r>
        <w:rPr>
          <w:i/>
        </w:rPr>
        <w:t xml:space="preserve">- 100 1 03 02260 </w:t>
      </w:r>
      <w:r w:rsidRPr="005D7371">
        <w:rPr>
          <w:i/>
        </w:rPr>
        <w:t>01</w:t>
      </w:r>
      <w:r>
        <w:rPr>
          <w:i/>
        </w:rPr>
        <w:t xml:space="preserve"> </w:t>
      </w:r>
      <w:r w:rsidRPr="002D3507">
        <w:rPr>
          <w:i/>
        </w:rPr>
        <w:t>0000</w:t>
      </w:r>
      <w:r>
        <w:rPr>
          <w:i/>
        </w:rPr>
        <w:t xml:space="preserve"> 110 «</w:t>
      </w:r>
      <w:r w:rsidR="00D15743" w:rsidRPr="005D7371">
        <w:rPr>
          <w: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i/>
        </w:rPr>
        <w:t xml:space="preserve">» (в Реестре источников </w:t>
      </w:r>
      <w:r w:rsidRPr="00171A79">
        <w:rPr>
          <w:i/>
        </w:rPr>
        <w:t>доходов не верно отражен</w:t>
      </w:r>
      <w:r>
        <w:rPr>
          <w:i/>
        </w:rPr>
        <w:t>о</w:t>
      </w:r>
      <w:r w:rsidRPr="00171A79">
        <w:rPr>
          <w:i/>
        </w:rPr>
        <w:t xml:space="preserve"> </w:t>
      </w:r>
      <w:r>
        <w:rPr>
          <w:i/>
        </w:rPr>
        <w:t>его наименование</w:t>
      </w:r>
      <w:r w:rsidR="00D15743">
        <w:rPr>
          <w:i/>
        </w:rPr>
        <w:t>)</w:t>
      </w:r>
      <w:r w:rsidR="00332AAF" w:rsidRPr="00332AAF">
        <w:rPr>
          <w:i/>
        </w:rPr>
        <w:t xml:space="preserve"> </w:t>
      </w:r>
      <w:r w:rsidR="00332AAF">
        <w:rPr>
          <w:i/>
        </w:rPr>
        <w:t>– следует привести в соответствие</w:t>
      </w:r>
      <w:r w:rsidR="00332AAF" w:rsidRPr="00171A79">
        <w:rPr>
          <w:i/>
        </w:rPr>
        <w:t>;</w:t>
      </w:r>
    </w:p>
    <w:p w:rsidR="00332AAF" w:rsidRDefault="00332AAF" w:rsidP="00332AAF">
      <w:pPr>
        <w:ind w:firstLine="709"/>
        <w:jc w:val="both"/>
        <w:rPr>
          <w:i/>
        </w:rPr>
      </w:pPr>
      <w:r>
        <w:rPr>
          <w:i/>
        </w:rPr>
        <w:t xml:space="preserve">- 910 2 02 15001 10 </w:t>
      </w:r>
      <w:r w:rsidRPr="002D3507">
        <w:rPr>
          <w:i/>
        </w:rPr>
        <w:t>0000</w:t>
      </w:r>
      <w:r>
        <w:rPr>
          <w:i/>
        </w:rPr>
        <w:t xml:space="preserve"> </w:t>
      </w:r>
      <w:r w:rsidRPr="00332AAF">
        <w:rPr>
          <w:b/>
          <w:i/>
        </w:rPr>
        <w:t>150</w:t>
      </w:r>
      <w:r>
        <w:rPr>
          <w:i/>
        </w:rPr>
        <w:t xml:space="preserve"> «</w:t>
      </w:r>
      <w:r w:rsidRPr="00332AAF">
        <w:rPr>
          <w:i/>
        </w:rPr>
        <w:t>Дотации бюджетам сельских поселений на выравнивание бюджетной обеспеченности из бюджета субъекта Российской Федерации</w:t>
      </w:r>
      <w:r>
        <w:rPr>
          <w:i/>
        </w:rPr>
        <w:t xml:space="preserve">» (в Реестре источников </w:t>
      </w:r>
      <w:r w:rsidRPr="00171A79">
        <w:rPr>
          <w:i/>
        </w:rPr>
        <w:t>доходов не верно отражен</w:t>
      </w:r>
      <w:r>
        <w:rPr>
          <w:i/>
        </w:rPr>
        <w:t xml:space="preserve"> код дохода – 910 2 02 15001 10 0000 </w:t>
      </w:r>
      <w:r w:rsidRPr="00332AAF">
        <w:rPr>
          <w:i/>
          <w:u w:val="single"/>
        </w:rPr>
        <w:t>151</w:t>
      </w:r>
      <w:r>
        <w:rPr>
          <w:i/>
        </w:rPr>
        <w:t xml:space="preserve"> и</w:t>
      </w:r>
      <w:r w:rsidRPr="00171A79">
        <w:rPr>
          <w:i/>
        </w:rPr>
        <w:t xml:space="preserve"> </w:t>
      </w:r>
      <w:r>
        <w:rPr>
          <w:i/>
        </w:rPr>
        <w:t>его наименование)</w:t>
      </w:r>
      <w:r w:rsidRPr="00332AAF">
        <w:rPr>
          <w:i/>
        </w:rPr>
        <w:t xml:space="preserve"> </w:t>
      </w:r>
      <w:r>
        <w:rPr>
          <w:i/>
        </w:rPr>
        <w:t>– следует привести в соответствие.</w:t>
      </w:r>
      <w:bookmarkEnd w:id="4"/>
    </w:p>
    <w:p w:rsidR="006D0DD2" w:rsidRPr="00AA5219" w:rsidRDefault="00D15743" w:rsidP="00332AAF">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w:t>
      </w:r>
      <w:r w:rsidR="00C779AA">
        <w:rPr>
          <w:rFonts w:ascii="Times New Roman" w:hAnsi="Times New Roman"/>
          <w:bCs/>
          <w:sz w:val="24"/>
          <w:szCs w:val="24"/>
        </w:rPr>
        <w:t>2</w:t>
      </w:r>
      <w:r w:rsidR="007965C5" w:rsidRPr="00AA5219">
        <w:rPr>
          <w:rFonts w:ascii="Times New Roman" w:hAnsi="Times New Roman"/>
          <w:bCs/>
          <w:sz w:val="24"/>
          <w:szCs w:val="24"/>
        </w:rPr>
        <w:t xml:space="preserve"> год и плановый период 202</w:t>
      </w:r>
      <w:r w:rsidR="00C779AA">
        <w:rPr>
          <w:rFonts w:ascii="Times New Roman" w:hAnsi="Times New Roman"/>
          <w:bCs/>
          <w:sz w:val="24"/>
          <w:szCs w:val="24"/>
        </w:rPr>
        <w:t>3</w:t>
      </w:r>
      <w:r w:rsidR="007965C5" w:rsidRPr="00AA5219">
        <w:rPr>
          <w:rFonts w:ascii="Times New Roman" w:hAnsi="Times New Roman"/>
          <w:bCs/>
          <w:sz w:val="24"/>
          <w:szCs w:val="24"/>
        </w:rPr>
        <w:t xml:space="preserve"> и 202</w:t>
      </w:r>
      <w:r w:rsidR="00C779AA">
        <w:rPr>
          <w:rFonts w:ascii="Times New Roman" w:hAnsi="Times New Roman"/>
          <w:bCs/>
          <w:sz w:val="24"/>
          <w:szCs w:val="24"/>
        </w:rPr>
        <w:t>4</w:t>
      </w:r>
      <w:r w:rsidR="007965C5" w:rsidRPr="00AA5219">
        <w:rPr>
          <w:rFonts w:ascii="Times New Roman" w:hAnsi="Times New Roman"/>
          <w:bCs/>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1D1F44">
        <w:t>Усть-Илгинского</w:t>
      </w:r>
      <w:r w:rsidR="000267E3">
        <w:t xml:space="preserve"> муниципального образования</w:t>
      </w:r>
      <w:r w:rsidRPr="00B03A0F">
        <w:rPr>
          <w:rFonts w:eastAsia="TimesNewRomanPSMT"/>
        </w:rPr>
        <w:t xml:space="preserve"> </w:t>
      </w:r>
      <w:r w:rsidRPr="00B03A0F">
        <w:t xml:space="preserve">«О бюджете </w:t>
      </w:r>
      <w:r w:rsidR="001D1F44">
        <w:t>Усть-Илгинского</w:t>
      </w:r>
      <w:r w:rsidRPr="00B03A0F">
        <w:t xml:space="preserve"> муниципального образования на 202</w:t>
      </w:r>
      <w:r w:rsidR="000267E3">
        <w:t>2</w:t>
      </w:r>
      <w:r w:rsidRPr="00B03A0F">
        <w:t xml:space="preserve"> год и плановый период 202</w:t>
      </w:r>
      <w:r w:rsidR="000267E3">
        <w:t>3</w:t>
      </w:r>
      <w:r w:rsidRPr="00B03A0F">
        <w:t xml:space="preserve"> и 202</w:t>
      </w:r>
      <w:r w:rsidR="000267E3">
        <w:t>4</w:t>
      </w:r>
      <w:r w:rsidRPr="00B03A0F">
        <w:t xml:space="preserve"> годов», </w:t>
      </w:r>
      <w:r w:rsidRPr="00B03A0F">
        <w:rPr>
          <w:bCs/>
        </w:rPr>
        <w:t>содержатся основные характеристики бюджета:</w:t>
      </w:r>
    </w:p>
    <w:p w:rsidR="00C779AA" w:rsidRPr="00B03A0F" w:rsidRDefault="00C779AA" w:rsidP="000D7663">
      <w:pPr>
        <w:autoSpaceDE w:val="0"/>
        <w:autoSpaceDN w:val="0"/>
        <w:adjustRightInd w:val="0"/>
        <w:ind w:firstLine="709"/>
        <w:jc w:val="both"/>
      </w:pPr>
      <w:r w:rsidRPr="00B03A0F">
        <w:t xml:space="preserve">- </w:t>
      </w:r>
      <w:r w:rsidRPr="00B03A0F">
        <w:rPr>
          <w:u w:val="single"/>
        </w:rPr>
        <w:t>общий объем доходов</w:t>
      </w:r>
      <w:r w:rsidRPr="00B03A0F">
        <w:t xml:space="preserve"> бюджета предлагается утвердить на 202</w:t>
      </w:r>
      <w:r w:rsidR="002440AC">
        <w:t>2</w:t>
      </w:r>
      <w:r>
        <w:t xml:space="preserve"> </w:t>
      </w:r>
      <w:r w:rsidRPr="00B03A0F">
        <w:t>г</w:t>
      </w:r>
      <w:r>
        <w:t>од</w:t>
      </w:r>
      <w:r w:rsidRPr="00B03A0F">
        <w:t xml:space="preserve"> в сумме </w:t>
      </w:r>
      <w:r w:rsidR="00E3716A">
        <w:t>5066,8</w:t>
      </w:r>
      <w:r w:rsidRPr="00B03A0F">
        <w:t xml:space="preserve"> тыс. рублей, на 202</w:t>
      </w:r>
      <w:r w:rsidR="002440AC">
        <w:t>3</w:t>
      </w:r>
      <w:r>
        <w:t xml:space="preserve"> </w:t>
      </w:r>
      <w:r w:rsidRPr="00B03A0F">
        <w:t>г</w:t>
      </w:r>
      <w:r>
        <w:t>од</w:t>
      </w:r>
      <w:r w:rsidRPr="00B03A0F">
        <w:t xml:space="preserve"> – </w:t>
      </w:r>
      <w:r w:rsidR="00E3716A">
        <w:t>4764</w:t>
      </w:r>
      <w:r w:rsidRPr="00B03A0F">
        <w:t xml:space="preserve"> тыс. рублей, на 202</w:t>
      </w:r>
      <w:r w:rsidR="002440AC">
        <w:t>4</w:t>
      </w:r>
      <w:r>
        <w:t xml:space="preserve"> </w:t>
      </w:r>
      <w:r w:rsidRPr="00B03A0F">
        <w:t>г</w:t>
      </w:r>
      <w:r>
        <w:t>од</w:t>
      </w:r>
      <w:r w:rsidRPr="00B03A0F">
        <w:t xml:space="preserve"> – </w:t>
      </w:r>
      <w:r w:rsidR="00E3716A">
        <w:t>14962,5</w:t>
      </w:r>
      <w:r w:rsidRPr="00B03A0F">
        <w:t xml:space="preserve"> тыс. рублей;</w:t>
      </w:r>
    </w:p>
    <w:p w:rsidR="00C779AA" w:rsidRDefault="00C779AA" w:rsidP="000D7663">
      <w:pPr>
        <w:autoSpaceDE w:val="0"/>
        <w:autoSpaceDN w:val="0"/>
        <w:adjustRightInd w:val="0"/>
        <w:ind w:firstLine="709"/>
        <w:jc w:val="both"/>
      </w:pPr>
      <w:r w:rsidRPr="00B03A0F">
        <w:t xml:space="preserve">- </w:t>
      </w:r>
      <w:r w:rsidRPr="00B03A0F">
        <w:rPr>
          <w:u w:val="single"/>
        </w:rPr>
        <w:t>общий объем расходов</w:t>
      </w:r>
      <w:r w:rsidRPr="00B03A0F">
        <w:t xml:space="preserve"> бюджета </w:t>
      </w:r>
      <w:r w:rsidR="006047A2" w:rsidRPr="00B03A0F">
        <w:t>предлагается утвердить на 202</w:t>
      </w:r>
      <w:r w:rsidR="006047A2">
        <w:t xml:space="preserve">2 </w:t>
      </w:r>
      <w:r w:rsidR="006047A2" w:rsidRPr="00B03A0F">
        <w:t>г</w:t>
      </w:r>
      <w:r w:rsidR="006047A2">
        <w:t>од</w:t>
      </w:r>
      <w:r w:rsidR="006047A2" w:rsidRPr="00B03A0F">
        <w:t xml:space="preserve"> в сумме </w:t>
      </w:r>
      <w:r w:rsidR="00E3716A">
        <w:t>5083,5</w:t>
      </w:r>
      <w:r w:rsidR="006047A2" w:rsidRPr="00B03A0F">
        <w:t xml:space="preserve"> тыс. рублей, на 202</w:t>
      </w:r>
      <w:r w:rsidR="006047A2">
        <w:t xml:space="preserve">3 </w:t>
      </w:r>
      <w:r w:rsidR="006047A2" w:rsidRPr="00B03A0F">
        <w:t>г</w:t>
      </w:r>
      <w:r w:rsidR="006047A2">
        <w:t>од</w:t>
      </w:r>
      <w:r w:rsidR="006047A2" w:rsidRPr="00B03A0F">
        <w:t xml:space="preserve"> – </w:t>
      </w:r>
      <w:r w:rsidR="00E3716A">
        <w:t>4781,6</w:t>
      </w:r>
      <w:r w:rsidR="006047A2" w:rsidRPr="00B03A0F">
        <w:t xml:space="preserve"> тыс. рублей, </w:t>
      </w:r>
      <w:r w:rsidR="006047A2" w:rsidRPr="005D565C">
        <w:t xml:space="preserve">в том числе условно утвержденные расходы в сумме </w:t>
      </w:r>
      <w:r w:rsidR="00E3716A">
        <w:t>110,9</w:t>
      </w:r>
      <w:r w:rsidR="006047A2" w:rsidRPr="005D565C">
        <w:t xml:space="preserve"> тыс. рублей</w:t>
      </w:r>
      <w:r w:rsidR="006047A2" w:rsidRPr="00B03A0F">
        <w:t>, на 202</w:t>
      </w:r>
      <w:r w:rsidR="006047A2">
        <w:t xml:space="preserve">4 </w:t>
      </w:r>
      <w:r w:rsidR="006047A2" w:rsidRPr="00B03A0F">
        <w:t>г</w:t>
      </w:r>
      <w:r w:rsidR="006047A2">
        <w:t>од</w:t>
      </w:r>
      <w:r w:rsidR="006047A2" w:rsidRPr="00B03A0F">
        <w:t xml:space="preserve"> – </w:t>
      </w:r>
      <w:r w:rsidR="00E3716A">
        <w:t>14981,3</w:t>
      </w:r>
      <w:r w:rsidR="006047A2" w:rsidRPr="00B03A0F">
        <w:t xml:space="preserve"> тыс. рублей</w:t>
      </w:r>
      <w:r w:rsidR="006047A2">
        <w:t xml:space="preserve">, </w:t>
      </w:r>
      <w:r w:rsidRPr="005D565C">
        <w:t xml:space="preserve">в том числе условно утвержденные расходы в сумме </w:t>
      </w:r>
      <w:r w:rsidR="00E3716A">
        <w:t>731,4</w:t>
      </w:r>
      <w:r w:rsidRPr="005D565C">
        <w:t xml:space="preserve"> тыс. рублей.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76038F">
        <w:t>3</w:t>
      </w:r>
      <w:r>
        <w:t>-202</w:t>
      </w:r>
      <w:r w:rsidR="0076038F">
        <w:t>4</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C779AA" w:rsidRPr="00B03A0F" w:rsidRDefault="00C779AA" w:rsidP="000D7663">
      <w:pPr>
        <w:autoSpaceDE w:val="0"/>
        <w:autoSpaceDN w:val="0"/>
        <w:adjustRightInd w:val="0"/>
        <w:ind w:firstLine="709"/>
        <w:jc w:val="both"/>
      </w:pPr>
      <w:r w:rsidRPr="00B03A0F">
        <w:t xml:space="preserve">Бюджет </w:t>
      </w:r>
      <w:r w:rsidR="001D1F44">
        <w:t>Усть-Илгинского</w:t>
      </w:r>
      <w:r w:rsidRPr="00B03A0F">
        <w:t xml:space="preserve"> МО сформирован с </w:t>
      </w:r>
      <w:r w:rsidR="0076038F">
        <w:t>дефицитом</w:t>
      </w:r>
      <w:r w:rsidR="0076038F" w:rsidRPr="00B03A0F">
        <w:t xml:space="preserve"> </w:t>
      </w:r>
      <w:r w:rsidR="0076038F">
        <w:t>(</w:t>
      </w:r>
      <w:r w:rsidRPr="00B03A0F">
        <w:t>превышением расходов над доходами</w:t>
      </w:r>
      <w:r w:rsidR="0076038F">
        <w:t>)</w:t>
      </w:r>
      <w:r w:rsidRPr="00B03A0F">
        <w:t>:</w:t>
      </w:r>
    </w:p>
    <w:p w:rsidR="00C779AA" w:rsidRPr="00B03A0F" w:rsidRDefault="00C779AA" w:rsidP="000D7663">
      <w:pPr>
        <w:autoSpaceDE w:val="0"/>
        <w:autoSpaceDN w:val="0"/>
        <w:adjustRightInd w:val="0"/>
        <w:ind w:firstLine="709"/>
        <w:jc w:val="both"/>
      </w:pPr>
      <w:r>
        <w:t xml:space="preserve">- </w:t>
      </w:r>
      <w:r w:rsidRPr="00B03A0F">
        <w:t>на 202</w:t>
      </w:r>
      <w:r w:rsidR="006047A2">
        <w:t>2</w:t>
      </w:r>
      <w:r w:rsidRPr="00B03A0F">
        <w:t xml:space="preserve"> год в сумме </w:t>
      </w:r>
      <w:r w:rsidR="00E3716A">
        <w:t>16,7</w:t>
      </w:r>
      <w:r w:rsidRPr="00B03A0F">
        <w:t xml:space="preserve"> тыс. рублей, что составляет </w:t>
      </w:r>
      <w:r w:rsidR="006047A2">
        <w:t>3,7</w:t>
      </w:r>
      <w:r w:rsidR="00E3716A">
        <w:t>1</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3</w:t>
      </w:r>
      <w:r w:rsidRPr="00B03A0F">
        <w:t xml:space="preserve"> год в сумме </w:t>
      </w:r>
      <w:r w:rsidR="00E3716A">
        <w:t>17,6</w:t>
      </w:r>
      <w:r w:rsidRPr="00B03A0F">
        <w:t xml:space="preserve"> тыс. рублей, что составляет </w:t>
      </w:r>
      <w:r w:rsidR="006047A2">
        <w:t>3,74</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4</w:t>
      </w:r>
      <w:r w:rsidRPr="00B03A0F">
        <w:t xml:space="preserve"> год в сумме </w:t>
      </w:r>
      <w:r w:rsidR="00E3716A">
        <w:t>18,8</w:t>
      </w:r>
      <w:r w:rsidRPr="00B03A0F">
        <w:t xml:space="preserve"> тыс. рублей, что составляет </w:t>
      </w:r>
      <w:r w:rsidR="006047A2">
        <w:t>3</w:t>
      </w:r>
      <w:r w:rsidR="00E3716A">
        <w:t>,74</w:t>
      </w:r>
      <w:r w:rsidRPr="00B03A0F">
        <w:t>% утвержденного общего годового объема доходов бюджета без учета объема безвозмездных поступлений</w:t>
      </w:r>
      <w:r w:rsidR="00B53410">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2022-2024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бюджета 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1D1F44">
        <w:rPr>
          <w:b w:val="0"/>
          <w:sz w:val="24"/>
          <w:szCs w:val="24"/>
        </w:rPr>
        <w:t>Усть-Илгинского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5B41">
        <w:rPr>
          <w:b w:val="0"/>
          <w:sz w:val="24"/>
          <w:szCs w:val="24"/>
        </w:rPr>
        <w:t>3</w:t>
      </w:r>
      <w:r w:rsidRPr="00895EC4">
        <w:rPr>
          <w:b w:val="0"/>
          <w:sz w:val="24"/>
          <w:szCs w:val="24"/>
        </w:rPr>
        <w:t xml:space="preserve">г. – </w:t>
      </w:r>
      <w:r w:rsidR="00717966">
        <w:rPr>
          <w:b w:val="0"/>
          <w:sz w:val="24"/>
          <w:szCs w:val="24"/>
        </w:rPr>
        <w:t>16,7</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1D1F44">
        <w:rPr>
          <w:b w:val="0"/>
          <w:sz w:val="24"/>
          <w:szCs w:val="24"/>
        </w:rPr>
        <w:t>Усть-Илгинского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24</w:t>
      </w:r>
      <w:r w:rsidRPr="00895EC4">
        <w:rPr>
          <w:b w:val="0"/>
          <w:sz w:val="24"/>
          <w:szCs w:val="24"/>
        </w:rPr>
        <w:t xml:space="preserve">г. – </w:t>
      </w:r>
      <w:r w:rsidR="00717966">
        <w:rPr>
          <w:b w:val="0"/>
          <w:sz w:val="24"/>
          <w:szCs w:val="24"/>
        </w:rPr>
        <w:t>34,3</w:t>
      </w:r>
      <w:r>
        <w:rPr>
          <w:b w:val="0"/>
          <w:sz w:val="24"/>
          <w:szCs w:val="24"/>
        </w:rPr>
        <w:t xml:space="preserve"> тыс. руб., в том числе верхний предел долга по муниципальным гарантиям </w:t>
      </w:r>
      <w:r w:rsidR="001D1F44">
        <w:rPr>
          <w:b w:val="0"/>
          <w:sz w:val="24"/>
          <w:szCs w:val="24"/>
        </w:rPr>
        <w:t>Усть-Илгинского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25</w:t>
      </w:r>
      <w:r w:rsidRPr="00895EC4">
        <w:rPr>
          <w:b w:val="0"/>
          <w:sz w:val="24"/>
          <w:szCs w:val="24"/>
        </w:rPr>
        <w:t xml:space="preserve">г. – </w:t>
      </w:r>
      <w:r w:rsidR="00717966">
        <w:rPr>
          <w:b w:val="0"/>
          <w:sz w:val="24"/>
          <w:szCs w:val="24"/>
        </w:rPr>
        <w:t>53,1</w:t>
      </w:r>
      <w:r>
        <w:rPr>
          <w:b w:val="0"/>
          <w:sz w:val="24"/>
          <w:szCs w:val="24"/>
        </w:rPr>
        <w:t xml:space="preserve"> тыс. руб., в том числе верхний предел долга по муниципальным гарантиям </w:t>
      </w:r>
      <w:r w:rsidR="001D1F44">
        <w:rPr>
          <w:b w:val="0"/>
          <w:sz w:val="24"/>
          <w:szCs w:val="24"/>
        </w:rPr>
        <w:t>Усть-Илгинского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проектом бюджета 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2022-2024 годы в размере 0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Pr="005E06FA">
        <w:rPr>
          <w:color w:val="000000"/>
        </w:rPr>
        <w:t>2</w:t>
      </w:r>
      <w:r w:rsidR="00C779AA" w:rsidRPr="005E06FA">
        <w:rPr>
          <w:color w:val="000000"/>
        </w:rPr>
        <w:t xml:space="preserve"> год в сумме </w:t>
      </w:r>
      <w:r w:rsidR="00717966">
        <w:rPr>
          <w:color w:val="000000"/>
        </w:rPr>
        <w:t>311,3</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Pr>
          <w:color w:val="000000"/>
        </w:rPr>
        <w:t>3</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717966">
        <w:rPr>
          <w:color w:val="000000"/>
        </w:rPr>
        <w:t>327,2</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5" w:name="_Hlk58502113"/>
      <w:r>
        <w:rPr>
          <w:color w:val="000000"/>
        </w:rPr>
        <w:t xml:space="preserve">- на 2024 год </w:t>
      </w:r>
      <w:r w:rsidRPr="00B03A0F">
        <w:rPr>
          <w:color w:val="000000"/>
        </w:rPr>
        <w:t xml:space="preserve">в сумме </w:t>
      </w:r>
      <w:r w:rsidR="00717966">
        <w:rPr>
          <w:color w:val="000000"/>
        </w:rPr>
        <w:t>353,4</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5"/>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197F69">
        <w:rPr>
          <w:color w:val="000000"/>
        </w:rPr>
        <w:t>2</w:t>
      </w:r>
      <w:r w:rsidR="006B0710">
        <w:rPr>
          <w:color w:val="000000"/>
        </w:rPr>
        <w:t>-202</w:t>
      </w:r>
      <w:r w:rsidR="00197F69">
        <w:rPr>
          <w:color w:val="000000"/>
        </w:rPr>
        <w:t>4</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197F69">
        <w:rPr>
          <w:color w:val="000000"/>
        </w:rPr>
        <w:t>2</w:t>
      </w:r>
      <w:r w:rsidR="00DA36A6">
        <w:rPr>
          <w:color w:val="000000"/>
        </w:rPr>
        <w:t>-202</w:t>
      </w:r>
      <w:r w:rsidR="00197F69">
        <w:rPr>
          <w:color w:val="000000"/>
        </w:rPr>
        <w:t>4</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CB6900">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1D1F44">
        <w:rPr>
          <w:b w:val="0"/>
          <w:sz w:val="24"/>
          <w:szCs w:val="24"/>
        </w:rPr>
        <w:t>Усть-Илгинским</w:t>
      </w:r>
      <w:r w:rsidRPr="000D7663">
        <w:rPr>
          <w:b w:val="0"/>
          <w:sz w:val="24"/>
          <w:szCs w:val="24"/>
        </w:rPr>
        <w:t xml:space="preserve"> муниципальным образованием в 202</w:t>
      </w:r>
      <w:r w:rsidR="0076038F">
        <w:rPr>
          <w:b w:val="0"/>
          <w:sz w:val="24"/>
          <w:szCs w:val="24"/>
        </w:rPr>
        <w:t>2</w:t>
      </w:r>
      <w:r w:rsidRPr="000D7663">
        <w:rPr>
          <w:b w:val="0"/>
          <w:sz w:val="24"/>
          <w:szCs w:val="24"/>
        </w:rPr>
        <w:t xml:space="preserve"> году и плановом периоде 202</w:t>
      </w:r>
      <w:r w:rsidR="0076038F">
        <w:rPr>
          <w:b w:val="0"/>
          <w:sz w:val="24"/>
          <w:szCs w:val="24"/>
        </w:rPr>
        <w:t>3</w:t>
      </w:r>
      <w:r w:rsidRPr="000D7663">
        <w:rPr>
          <w:b w:val="0"/>
          <w:sz w:val="24"/>
          <w:szCs w:val="24"/>
        </w:rPr>
        <w:t xml:space="preserve"> и 202</w:t>
      </w:r>
      <w:r w:rsidR="0076038F">
        <w:rPr>
          <w:b w:val="0"/>
          <w:sz w:val="24"/>
          <w:szCs w:val="24"/>
        </w:rPr>
        <w:t>4</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197F69">
        <w:rPr>
          <w:b w:val="0"/>
          <w:i w:val="0"/>
          <w:color w:val="191919"/>
          <w:sz w:val="24"/>
        </w:rPr>
        <w:t>2</w:t>
      </w:r>
      <w:r w:rsidRPr="006D0DD2">
        <w:rPr>
          <w:b w:val="0"/>
          <w:i w:val="0"/>
          <w:color w:val="191919"/>
          <w:sz w:val="24"/>
        </w:rPr>
        <w:t xml:space="preserve"> году </w:t>
      </w:r>
      <w:r>
        <w:rPr>
          <w:b w:val="0"/>
          <w:i w:val="0"/>
          <w:color w:val="191919"/>
          <w:sz w:val="24"/>
        </w:rPr>
        <w:t>и плановом периоде 202</w:t>
      </w:r>
      <w:r w:rsidR="00197F69">
        <w:rPr>
          <w:b w:val="0"/>
          <w:i w:val="0"/>
          <w:color w:val="191919"/>
          <w:sz w:val="24"/>
        </w:rPr>
        <w:t>3</w:t>
      </w:r>
      <w:r>
        <w:rPr>
          <w:b w:val="0"/>
          <w:i w:val="0"/>
          <w:color w:val="191919"/>
          <w:sz w:val="24"/>
        </w:rPr>
        <w:t xml:space="preserve"> и 202</w:t>
      </w:r>
      <w:r w:rsidR="00197F69">
        <w:rPr>
          <w:b w:val="0"/>
          <w:i w:val="0"/>
          <w:color w:val="191919"/>
          <w:sz w:val="24"/>
        </w:rPr>
        <w:t>4</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1D1F44" w:rsidP="00815514">
      <w:pPr>
        <w:widowControl w:val="0"/>
        <w:numPr>
          <w:ilvl w:val="12"/>
          <w:numId w:val="0"/>
        </w:numPr>
        <w:ind w:firstLine="720"/>
        <w:jc w:val="center"/>
      </w:pPr>
      <w:r>
        <w:t>Усть-Илгинского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1D1F44">
        <w:rPr>
          <w:rFonts w:eastAsia="Calibri"/>
        </w:rPr>
        <w:t>Усть-Илгинского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21</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Pr>
          <w:rFonts w:eastAsia="Calibri"/>
        </w:rPr>
        <w:t>2</w:t>
      </w:r>
      <w:r w:rsidRPr="00D972AF">
        <w:rPr>
          <w:rFonts w:eastAsia="Calibri"/>
        </w:rPr>
        <w:t xml:space="preserve"> год планируются в сумме </w:t>
      </w:r>
      <w:r w:rsidR="00D859C1">
        <w:rPr>
          <w:rFonts w:eastAsia="Calibri"/>
        </w:rPr>
        <w:t>5066,8</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D859C1">
        <w:rPr>
          <w:rFonts w:eastAsia="Calibri"/>
        </w:rPr>
        <w:t>450,3</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D859C1">
        <w:rPr>
          <w:rFonts w:eastAsia="Calibri"/>
        </w:rPr>
        <w:t>8,9</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D859C1">
        <w:rPr>
          <w:rFonts w:eastAsia="Calibri"/>
        </w:rPr>
        <w:t>4616,5</w:t>
      </w:r>
      <w:r w:rsidRPr="00D972AF">
        <w:rPr>
          <w:rFonts w:eastAsia="Calibri"/>
        </w:rPr>
        <w:t xml:space="preserve"> тыс. руб</w:t>
      </w:r>
      <w:r>
        <w:rPr>
          <w:rFonts w:eastAsia="Calibri"/>
        </w:rPr>
        <w:t>лей,</w:t>
      </w:r>
      <w:r w:rsidRPr="00D972AF">
        <w:rPr>
          <w:rFonts w:eastAsia="Calibri"/>
        </w:rPr>
        <w:t xml:space="preserve"> или </w:t>
      </w:r>
      <w:r w:rsidR="00D859C1">
        <w:rPr>
          <w:rFonts w:eastAsia="Calibri"/>
        </w:rPr>
        <w:t>91,1</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583D97">
        <w:rPr>
          <w:rFonts w:eastAsia="Calibri"/>
        </w:rPr>
        <w:t>3</w:t>
      </w:r>
      <w:r w:rsidR="00B139DA" w:rsidRPr="00D972AF">
        <w:rPr>
          <w:rFonts w:eastAsia="Calibri"/>
        </w:rPr>
        <w:t xml:space="preserve"> году доходы бюджета составят </w:t>
      </w:r>
      <w:r w:rsidR="00D859C1">
        <w:rPr>
          <w:rFonts w:eastAsia="Calibri"/>
        </w:rPr>
        <w:t>4764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D859C1">
        <w:rPr>
          <w:rFonts w:eastAsia="Calibri"/>
        </w:rPr>
        <w:t>471,2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или 9,9</w:t>
      </w:r>
      <w:r w:rsidR="00B139DA" w:rsidRPr="00D972AF">
        <w:rPr>
          <w:rFonts w:eastAsia="Calibri"/>
        </w:rPr>
        <w:t xml:space="preserve">%), безвозмездные поступления – </w:t>
      </w:r>
      <w:r w:rsidR="00D859C1">
        <w:rPr>
          <w:rFonts w:eastAsia="Calibri"/>
        </w:rPr>
        <w:t>4292,8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или 90,1</w:t>
      </w:r>
      <w:r w:rsidR="00B139DA" w:rsidRPr="00D972AF">
        <w:rPr>
          <w:rFonts w:eastAsia="Calibri"/>
        </w:rPr>
        <w:t>%). В 20</w:t>
      </w:r>
      <w:r w:rsidR="00583D97">
        <w:rPr>
          <w:rFonts w:eastAsia="Calibri"/>
        </w:rPr>
        <w:t>24</w:t>
      </w:r>
      <w:r w:rsidR="00B139DA" w:rsidRPr="00D972AF">
        <w:rPr>
          <w:rFonts w:eastAsia="Calibri"/>
        </w:rPr>
        <w:t xml:space="preserve"> году доходы бюджета составят </w:t>
      </w:r>
      <w:r w:rsidR="00D859C1">
        <w:rPr>
          <w:rFonts w:eastAsia="Calibri"/>
        </w:rPr>
        <w:t>14962,5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D859C1">
        <w:rPr>
          <w:rFonts w:eastAsia="Calibri"/>
        </w:rPr>
        <w:t>502,4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EC221D">
        <w:rPr>
          <w:rFonts w:eastAsia="Calibri"/>
        </w:rPr>
        <w:t>3,</w:t>
      </w:r>
      <w:r w:rsidR="00D859C1">
        <w:rPr>
          <w:rFonts w:eastAsia="Calibri"/>
        </w:rPr>
        <w:t>4</w:t>
      </w:r>
      <w:r w:rsidR="00B139DA" w:rsidRPr="00D972AF">
        <w:rPr>
          <w:rFonts w:eastAsia="Calibri"/>
        </w:rPr>
        <w:t xml:space="preserve">%), безвозмездные поступления </w:t>
      </w:r>
      <w:r w:rsidR="00B139DA">
        <w:rPr>
          <w:rFonts w:eastAsia="Calibri"/>
        </w:rPr>
        <w:t xml:space="preserve">– </w:t>
      </w:r>
      <w:r w:rsidR="00D859C1">
        <w:rPr>
          <w:rFonts w:eastAsia="Calibri"/>
        </w:rPr>
        <w:t>14460,1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B139DA">
        <w:rPr>
          <w:rFonts w:eastAsia="Calibri"/>
        </w:rPr>
        <w:t>9</w:t>
      </w:r>
      <w:r w:rsidR="00EC221D">
        <w:rPr>
          <w:rFonts w:eastAsia="Calibri"/>
        </w:rPr>
        <w:t>6,</w:t>
      </w:r>
      <w:r w:rsidR="00D859C1">
        <w:rPr>
          <w:rFonts w:eastAsia="Calibri"/>
        </w:rPr>
        <w:t>6</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F6314F">
        <w:t>2</w:t>
      </w:r>
      <w:r w:rsidR="00B1300B">
        <w:t>-202</w:t>
      </w:r>
      <w:r w:rsidR="00F6314F">
        <w:t>4</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39796A">
        <w:t>1</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39796A" w:rsidRPr="0039796A">
        <w:t>1</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F6314F">
            <w:pPr>
              <w:widowControl w:val="0"/>
              <w:numPr>
                <w:ilvl w:val="12"/>
                <w:numId w:val="0"/>
              </w:numPr>
              <w:jc w:val="center"/>
              <w:rPr>
                <w:i/>
                <w:sz w:val="20"/>
                <w:szCs w:val="20"/>
              </w:rPr>
            </w:pPr>
            <w:r>
              <w:rPr>
                <w:i/>
                <w:sz w:val="20"/>
                <w:szCs w:val="20"/>
              </w:rPr>
              <w:t>Оценка 202</w:t>
            </w:r>
            <w:r w:rsidR="00F6314F">
              <w:rPr>
                <w:i/>
                <w:sz w:val="20"/>
                <w:szCs w:val="20"/>
              </w:rPr>
              <w:t>1</w:t>
            </w:r>
            <w:r>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2</w:t>
            </w:r>
            <w:r w:rsidRPr="0044286D">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r>
              <w:rPr>
                <w:i/>
                <w:sz w:val="20"/>
                <w:szCs w:val="20"/>
              </w:rPr>
              <w:t>, %</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3</w:t>
            </w:r>
            <w:r w:rsidRPr="0044286D">
              <w:rPr>
                <w:i/>
                <w:sz w:val="20"/>
                <w:szCs w:val="20"/>
              </w:rPr>
              <w:t>г.</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4</w:t>
            </w:r>
            <w:r w:rsidRPr="0044286D">
              <w:rPr>
                <w:i/>
                <w:sz w:val="20"/>
                <w:szCs w:val="20"/>
              </w:rPr>
              <w:t>г.</w:t>
            </w:r>
          </w:p>
        </w:tc>
      </w:tr>
      <w:tr w:rsidR="00085C37" w:rsidRPr="00466605" w:rsidTr="00085C37">
        <w:tc>
          <w:tcPr>
            <w:tcW w:w="3652" w:type="dxa"/>
          </w:tcPr>
          <w:p w:rsidR="00085C37" w:rsidRPr="00C064DB" w:rsidRDefault="00085C37" w:rsidP="0031390C">
            <w:pPr>
              <w:widowControl w:val="0"/>
              <w:numPr>
                <w:ilvl w:val="12"/>
                <w:numId w:val="0"/>
              </w:numPr>
              <w:rPr>
                <w:b/>
                <w:sz w:val="18"/>
                <w:szCs w:val="18"/>
              </w:rPr>
            </w:pPr>
            <w:r>
              <w:rPr>
                <w:b/>
                <w:sz w:val="18"/>
                <w:szCs w:val="18"/>
              </w:rPr>
              <w:t>ВСЕГО ДОХОДОВ</w:t>
            </w:r>
          </w:p>
        </w:tc>
        <w:tc>
          <w:tcPr>
            <w:tcW w:w="992" w:type="dxa"/>
            <w:vAlign w:val="center"/>
          </w:tcPr>
          <w:p w:rsidR="00085C37" w:rsidRPr="001F1DA0" w:rsidRDefault="00085C37" w:rsidP="0031390C">
            <w:pPr>
              <w:widowControl w:val="0"/>
              <w:numPr>
                <w:ilvl w:val="12"/>
                <w:numId w:val="0"/>
              </w:numPr>
              <w:jc w:val="center"/>
              <w:rPr>
                <w:b/>
                <w:sz w:val="20"/>
                <w:szCs w:val="20"/>
              </w:rPr>
            </w:pPr>
            <w:r>
              <w:rPr>
                <w:b/>
                <w:sz w:val="20"/>
                <w:szCs w:val="20"/>
              </w:rPr>
              <w:t>6085,2</w:t>
            </w:r>
          </w:p>
        </w:tc>
        <w:tc>
          <w:tcPr>
            <w:tcW w:w="992" w:type="dxa"/>
            <w:vAlign w:val="center"/>
          </w:tcPr>
          <w:p w:rsidR="00085C37" w:rsidRPr="001F1DA0" w:rsidRDefault="00085C37" w:rsidP="0031390C">
            <w:pPr>
              <w:widowControl w:val="0"/>
              <w:numPr>
                <w:ilvl w:val="12"/>
                <w:numId w:val="0"/>
              </w:numPr>
              <w:jc w:val="center"/>
              <w:rPr>
                <w:b/>
                <w:sz w:val="20"/>
                <w:szCs w:val="20"/>
              </w:rPr>
            </w:pPr>
            <w:r>
              <w:rPr>
                <w:b/>
                <w:sz w:val="20"/>
                <w:szCs w:val="20"/>
              </w:rPr>
              <w:t>5066,8</w:t>
            </w:r>
          </w:p>
        </w:tc>
        <w:tc>
          <w:tcPr>
            <w:tcW w:w="992" w:type="dxa"/>
            <w:vAlign w:val="center"/>
          </w:tcPr>
          <w:p w:rsidR="00085C37" w:rsidRPr="00085C37" w:rsidRDefault="00085C37" w:rsidP="00085C37">
            <w:pPr>
              <w:jc w:val="center"/>
              <w:rPr>
                <w:b/>
                <w:sz w:val="20"/>
                <w:szCs w:val="20"/>
              </w:rPr>
            </w:pPr>
            <w:r w:rsidRPr="00085C37">
              <w:rPr>
                <w:b/>
                <w:sz w:val="20"/>
                <w:szCs w:val="20"/>
              </w:rPr>
              <w:t>-1018,4</w:t>
            </w:r>
          </w:p>
        </w:tc>
        <w:tc>
          <w:tcPr>
            <w:tcW w:w="992" w:type="dxa"/>
            <w:vAlign w:val="center"/>
          </w:tcPr>
          <w:p w:rsidR="00085C37" w:rsidRPr="00085C37" w:rsidRDefault="00085C37" w:rsidP="00085C37">
            <w:pPr>
              <w:jc w:val="center"/>
              <w:rPr>
                <w:b/>
                <w:sz w:val="20"/>
                <w:szCs w:val="20"/>
              </w:rPr>
            </w:pPr>
            <w:r w:rsidRPr="00085C37">
              <w:rPr>
                <w:b/>
                <w:sz w:val="20"/>
                <w:szCs w:val="20"/>
              </w:rPr>
              <w:t>83,3</w:t>
            </w:r>
          </w:p>
        </w:tc>
        <w:tc>
          <w:tcPr>
            <w:tcW w:w="992" w:type="dxa"/>
            <w:vAlign w:val="center"/>
          </w:tcPr>
          <w:p w:rsidR="00085C37" w:rsidRPr="001F1DA0" w:rsidRDefault="00085C37" w:rsidP="003831EF">
            <w:pPr>
              <w:tabs>
                <w:tab w:val="left" w:pos="9923"/>
              </w:tabs>
              <w:ind w:right="-3"/>
              <w:jc w:val="center"/>
              <w:rPr>
                <w:b/>
                <w:sz w:val="20"/>
                <w:szCs w:val="20"/>
              </w:rPr>
            </w:pPr>
            <w:r>
              <w:rPr>
                <w:b/>
                <w:sz w:val="20"/>
                <w:szCs w:val="20"/>
              </w:rPr>
              <w:t>4764</w:t>
            </w:r>
          </w:p>
        </w:tc>
        <w:tc>
          <w:tcPr>
            <w:tcW w:w="992" w:type="dxa"/>
            <w:vAlign w:val="center"/>
          </w:tcPr>
          <w:p w:rsidR="00085C37" w:rsidRPr="001F1DA0" w:rsidRDefault="00085C37" w:rsidP="003831EF">
            <w:pPr>
              <w:jc w:val="center"/>
              <w:rPr>
                <w:b/>
                <w:sz w:val="20"/>
                <w:szCs w:val="20"/>
              </w:rPr>
            </w:pPr>
            <w:r>
              <w:rPr>
                <w:b/>
                <w:sz w:val="20"/>
                <w:szCs w:val="20"/>
              </w:rPr>
              <w:t>14962,5</w:t>
            </w:r>
          </w:p>
        </w:tc>
      </w:tr>
      <w:tr w:rsidR="00085C37" w:rsidRPr="00466605" w:rsidTr="00085C37">
        <w:tc>
          <w:tcPr>
            <w:tcW w:w="3652" w:type="dxa"/>
          </w:tcPr>
          <w:p w:rsidR="00085C37" w:rsidRPr="00F6314F" w:rsidRDefault="00085C37"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085C37" w:rsidRPr="00F6314F" w:rsidRDefault="00085C37" w:rsidP="0031390C">
            <w:pPr>
              <w:widowControl w:val="0"/>
              <w:numPr>
                <w:ilvl w:val="12"/>
                <w:numId w:val="0"/>
              </w:numPr>
              <w:jc w:val="center"/>
              <w:rPr>
                <w:b/>
                <w:sz w:val="20"/>
                <w:szCs w:val="20"/>
              </w:rPr>
            </w:pPr>
            <w:r>
              <w:rPr>
                <w:b/>
                <w:sz w:val="20"/>
                <w:szCs w:val="20"/>
              </w:rPr>
              <w:t>607,4</w:t>
            </w:r>
          </w:p>
        </w:tc>
        <w:tc>
          <w:tcPr>
            <w:tcW w:w="992" w:type="dxa"/>
            <w:vAlign w:val="center"/>
          </w:tcPr>
          <w:p w:rsidR="00085C37" w:rsidRPr="00F6314F" w:rsidRDefault="00085C37" w:rsidP="0031390C">
            <w:pPr>
              <w:widowControl w:val="0"/>
              <w:numPr>
                <w:ilvl w:val="12"/>
                <w:numId w:val="0"/>
              </w:numPr>
              <w:jc w:val="center"/>
              <w:rPr>
                <w:b/>
                <w:sz w:val="20"/>
                <w:szCs w:val="20"/>
              </w:rPr>
            </w:pPr>
            <w:r>
              <w:rPr>
                <w:b/>
                <w:sz w:val="20"/>
                <w:szCs w:val="20"/>
              </w:rPr>
              <w:t>450,3</w:t>
            </w:r>
          </w:p>
        </w:tc>
        <w:tc>
          <w:tcPr>
            <w:tcW w:w="992" w:type="dxa"/>
            <w:vAlign w:val="center"/>
          </w:tcPr>
          <w:p w:rsidR="00085C37" w:rsidRPr="00085C37" w:rsidRDefault="00085C37" w:rsidP="00085C37">
            <w:pPr>
              <w:jc w:val="center"/>
              <w:rPr>
                <w:b/>
                <w:sz w:val="20"/>
                <w:szCs w:val="20"/>
              </w:rPr>
            </w:pPr>
            <w:r w:rsidRPr="00085C37">
              <w:rPr>
                <w:b/>
                <w:sz w:val="20"/>
                <w:szCs w:val="20"/>
              </w:rPr>
              <w:t>-157,1</w:t>
            </w:r>
          </w:p>
        </w:tc>
        <w:tc>
          <w:tcPr>
            <w:tcW w:w="992" w:type="dxa"/>
            <w:vAlign w:val="center"/>
          </w:tcPr>
          <w:p w:rsidR="00085C37" w:rsidRPr="00085C37" w:rsidRDefault="00085C37" w:rsidP="00085C37">
            <w:pPr>
              <w:jc w:val="center"/>
              <w:rPr>
                <w:b/>
                <w:sz w:val="20"/>
                <w:szCs w:val="20"/>
              </w:rPr>
            </w:pPr>
            <w:r w:rsidRPr="00085C37">
              <w:rPr>
                <w:b/>
                <w:sz w:val="20"/>
                <w:szCs w:val="20"/>
              </w:rPr>
              <w:t>74,1</w:t>
            </w:r>
          </w:p>
        </w:tc>
        <w:tc>
          <w:tcPr>
            <w:tcW w:w="992" w:type="dxa"/>
            <w:vAlign w:val="center"/>
          </w:tcPr>
          <w:p w:rsidR="00085C37" w:rsidRPr="00F6314F" w:rsidRDefault="00085C37" w:rsidP="003831EF">
            <w:pPr>
              <w:tabs>
                <w:tab w:val="left" w:pos="9923"/>
              </w:tabs>
              <w:ind w:right="-3"/>
              <w:jc w:val="center"/>
              <w:rPr>
                <w:b/>
                <w:sz w:val="20"/>
                <w:szCs w:val="20"/>
              </w:rPr>
            </w:pPr>
            <w:r>
              <w:rPr>
                <w:b/>
                <w:sz w:val="20"/>
                <w:szCs w:val="20"/>
              </w:rPr>
              <w:t>471,2</w:t>
            </w:r>
          </w:p>
        </w:tc>
        <w:tc>
          <w:tcPr>
            <w:tcW w:w="992" w:type="dxa"/>
            <w:vAlign w:val="center"/>
          </w:tcPr>
          <w:p w:rsidR="00085C37" w:rsidRPr="00F6314F" w:rsidRDefault="00085C37" w:rsidP="003831EF">
            <w:pPr>
              <w:jc w:val="center"/>
              <w:rPr>
                <w:b/>
                <w:sz w:val="20"/>
                <w:szCs w:val="20"/>
              </w:rPr>
            </w:pPr>
            <w:r>
              <w:rPr>
                <w:b/>
                <w:sz w:val="20"/>
                <w:szCs w:val="20"/>
              </w:rPr>
              <w:t>502,4</w:t>
            </w:r>
          </w:p>
        </w:tc>
      </w:tr>
      <w:tr w:rsidR="007D1917" w:rsidRPr="00466605" w:rsidTr="00085C37">
        <w:tc>
          <w:tcPr>
            <w:tcW w:w="3652" w:type="dxa"/>
            <w:vAlign w:val="center"/>
          </w:tcPr>
          <w:p w:rsidR="007D1917" w:rsidRPr="003831EF" w:rsidRDefault="007D1917" w:rsidP="00A10714">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7D1917" w:rsidRPr="003831EF" w:rsidRDefault="007D1917" w:rsidP="0039796A">
            <w:pPr>
              <w:widowControl w:val="0"/>
              <w:numPr>
                <w:ilvl w:val="12"/>
                <w:numId w:val="0"/>
              </w:numPr>
              <w:jc w:val="center"/>
              <w:rPr>
                <w:sz w:val="20"/>
                <w:szCs w:val="20"/>
              </w:rPr>
            </w:pPr>
            <w:r>
              <w:rPr>
                <w:sz w:val="20"/>
                <w:szCs w:val="20"/>
              </w:rPr>
              <w:t>116</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116</w:t>
            </w:r>
          </w:p>
        </w:tc>
        <w:tc>
          <w:tcPr>
            <w:tcW w:w="992" w:type="dxa"/>
            <w:vAlign w:val="center"/>
          </w:tcPr>
          <w:p w:rsidR="007D1917" w:rsidRPr="00085C37" w:rsidRDefault="007D1917" w:rsidP="00085C37">
            <w:pPr>
              <w:jc w:val="center"/>
              <w:rPr>
                <w:sz w:val="20"/>
                <w:szCs w:val="20"/>
              </w:rPr>
            </w:pPr>
            <w:r w:rsidRPr="00085C37">
              <w:rPr>
                <w:sz w:val="20"/>
                <w:szCs w:val="20"/>
              </w:rPr>
              <w:t>0</w:t>
            </w:r>
          </w:p>
        </w:tc>
        <w:tc>
          <w:tcPr>
            <w:tcW w:w="992" w:type="dxa"/>
            <w:vAlign w:val="center"/>
          </w:tcPr>
          <w:p w:rsidR="007D1917" w:rsidRPr="00085C37" w:rsidRDefault="007D1917" w:rsidP="00085C37">
            <w:pPr>
              <w:jc w:val="center"/>
              <w:rPr>
                <w:sz w:val="20"/>
                <w:szCs w:val="20"/>
              </w:rPr>
            </w:pPr>
            <w:r w:rsidRPr="00085C37">
              <w:rPr>
                <w:sz w:val="20"/>
                <w:szCs w:val="20"/>
              </w:rPr>
              <w:t>100</w:t>
            </w:r>
          </w:p>
        </w:tc>
        <w:tc>
          <w:tcPr>
            <w:tcW w:w="992" w:type="dxa"/>
            <w:vAlign w:val="center"/>
          </w:tcPr>
          <w:p w:rsidR="007D1917" w:rsidRPr="003831EF" w:rsidRDefault="007D1917" w:rsidP="003831EF">
            <w:pPr>
              <w:tabs>
                <w:tab w:val="left" w:pos="9923"/>
              </w:tabs>
              <w:ind w:right="-3"/>
              <w:jc w:val="center"/>
              <w:rPr>
                <w:sz w:val="20"/>
                <w:szCs w:val="20"/>
              </w:rPr>
            </w:pPr>
            <w:r>
              <w:rPr>
                <w:sz w:val="20"/>
                <w:szCs w:val="20"/>
              </w:rPr>
              <w:t>121</w:t>
            </w:r>
          </w:p>
        </w:tc>
        <w:tc>
          <w:tcPr>
            <w:tcW w:w="992" w:type="dxa"/>
            <w:vAlign w:val="center"/>
          </w:tcPr>
          <w:p w:rsidR="007D1917" w:rsidRPr="003831EF" w:rsidRDefault="007D1917" w:rsidP="003831EF">
            <w:pPr>
              <w:jc w:val="center"/>
              <w:rPr>
                <w:sz w:val="20"/>
                <w:szCs w:val="20"/>
              </w:rPr>
            </w:pPr>
            <w:r>
              <w:rPr>
                <w:sz w:val="20"/>
                <w:szCs w:val="20"/>
              </w:rPr>
              <w:t>126</w:t>
            </w:r>
          </w:p>
        </w:tc>
      </w:tr>
      <w:tr w:rsidR="007D1917" w:rsidRPr="00466605" w:rsidTr="00085C37">
        <w:tc>
          <w:tcPr>
            <w:tcW w:w="3652" w:type="dxa"/>
            <w:vAlign w:val="center"/>
          </w:tcPr>
          <w:p w:rsidR="007D1917" w:rsidRPr="003831EF" w:rsidRDefault="007D1917"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444,9</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311,3</w:t>
            </w:r>
          </w:p>
        </w:tc>
        <w:tc>
          <w:tcPr>
            <w:tcW w:w="992" w:type="dxa"/>
            <w:vAlign w:val="center"/>
          </w:tcPr>
          <w:p w:rsidR="007D1917" w:rsidRPr="00085C37" w:rsidRDefault="007D1917" w:rsidP="00085C37">
            <w:pPr>
              <w:jc w:val="center"/>
              <w:rPr>
                <w:sz w:val="20"/>
                <w:szCs w:val="20"/>
              </w:rPr>
            </w:pPr>
            <w:r w:rsidRPr="00085C37">
              <w:rPr>
                <w:sz w:val="20"/>
                <w:szCs w:val="20"/>
              </w:rPr>
              <w:t>-133,6</w:t>
            </w:r>
          </w:p>
        </w:tc>
        <w:tc>
          <w:tcPr>
            <w:tcW w:w="992" w:type="dxa"/>
            <w:vAlign w:val="center"/>
          </w:tcPr>
          <w:p w:rsidR="007D1917" w:rsidRPr="00085C37" w:rsidRDefault="007D1917" w:rsidP="00085C37">
            <w:pPr>
              <w:jc w:val="center"/>
              <w:rPr>
                <w:sz w:val="20"/>
                <w:szCs w:val="20"/>
              </w:rPr>
            </w:pPr>
            <w:r w:rsidRPr="00085C37">
              <w:rPr>
                <w:sz w:val="20"/>
                <w:szCs w:val="20"/>
              </w:rPr>
              <w:t>70</w:t>
            </w:r>
          </w:p>
        </w:tc>
        <w:tc>
          <w:tcPr>
            <w:tcW w:w="992" w:type="dxa"/>
            <w:vAlign w:val="center"/>
          </w:tcPr>
          <w:p w:rsidR="007D1917" w:rsidRPr="003831EF" w:rsidRDefault="007D1917" w:rsidP="003831EF">
            <w:pPr>
              <w:tabs>
                <w:tab w:val="left" w:pos="9923"/>
              </w:tabs>
              <w:ind w:right="-3"/>
              <w:jc w:val="center"/>
              <w:rPr>
                <w:sz w:val="20"/>
                <w:szCs w:val="20"/>
              </w:rPr>
            </w:pPr>
            <w:r>
              <w:rPr>
                <w:sz w:val="20"/>
                <w:szCs w:val="20"/>
              </w:rPr>
              <w:t>327,2</w:t>
            </w:r>
          </w:p>
        </w:tc>
        <w:tc>
          <w:tcPr>
            <w:tcW w:w="992" w:type="dxa"/>
            <w:vAlign w:val="center"/>
          </w:tcPr>
          <w:p w:rsidR="007D1917" w:rsidRPr="003831EF" w:rsidRDefault="007D1917" w:rsidP="003831EF">
            <w:pPr>
              <w:jc w:val="center"/>
              <w:rPr>
                <w:sz w:val="20"/>
                <w:szCs w:val="20"/>
              </w:rPr>
            </w:pPr>
            <w:r>
              <w:rPr>
                <w:sz w:val="20"/>
                <w:szCs w:val="20"/>
              </w:rPr>
              <w:t>353,4</w:t>
            </w:r>
          </w:p>
        </w:tc>
      </w:tr>
      <w:tr w:rsidR="007D1917" w:rsidRPr="00466605" w:rsidTr="00085C37">
        <w:tc>
          <w:tcPr>
            <w:tcW w:w="3652" w:type="dxa"/>
            <w:vAlign w:val="center"/>
          </w:tcPr>
          <w:p w:rsidR="007D1917" w:rsidRPr="003831EF" w:rsidRDefault="007D1917" w:rsidP="0031390C">
            <w:pPr>
              <w:snapToGrid w:val="0"/>
              <w:rPr>
                <w:sz w:val="18"/>
                <w:szCs w:val="18"/>
              </w:rPr>
            </w:pPr>
            <w:r>
              <w:rPr>
                <w:sz w:val="18"/>
                <w:szCs w:val="18"/>
              </w:rPr>
              <w:t>Налоги на совокупный доход (ЕСН)</w:t>
            </w:r>
          </w:p>
        </w:tc>
        <w:tc>
          <w:tcPr>
            <w:tcW w:w="992" w:type="dxa"/>
            <w:vAlign w:val="center"/>
          </w:tcPr>
          <w:p w:rsidR="007D1917" w:rsidRPr="003831EF" w:rsidRDefault="007D1917" w:rsidP="002E6E53">
            <w:pPr>
              <w:widowControl w:val="0"/>
              <w:numPr>
                <w:ilvl w:val="12"/>
                <w:numId w:val="0"/>
              </w:numPr>
              <w:rPr>
                <w:sz w:val="20"/>
                <w:szCs w:val="20"/>
              </w:rPr>
            </w:pPr>
            <w:r>
              <w:rPr>
                <w:sz w:val="20"/>
                <w:szCs w:val="20"/>
              </w:rPr>
              <w:t>1,5</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2</w:t>
            </w:r>
          </w:p>
        </w:tc>
        <w:tc>
          <w:tcPr>
            <w:tcW w:w="992" w:type="dxa"/>
            <w:vAlign w:val="center"/>
          </w:tcPr>
          <w:p w:rsidR="007D1917" w:rsidRPr="00085C37" w:rsidRDefault="007D1917" w:rsidP="00085C37">
            <w:pPr>
              <w:jc w:val="center"/>
              <w:rPr>
                <w:sz w:val="20"/>
                <w:szCs w:val="20"/>
              </w:rPr>
            </w:pPr>
            <w:r w:rsidRPr="00085C37">
              <w:rPr>
                <w:sz w:val="20"/>
                <w:szCs w:val="20"/>
              </w:rPr>
              <w:t>0,5</w:t>
            </w:r>
          </w:p>
        </w:tc>
        <w:tc>
          <w:tcPr>
            <w:tcW w:w="992" w:type="dxa"/>
            <w:vAlign w:val="center"/>
          </w:tcPr>
          <w:p w:rsidR="007D1917" w:rsidRPr="00085C37" w:rsidRDefault="007D1917" w:rsidP="00085C37">
            <w:pPr>
              <w:jc w:val="center"/>
              <w:rPr>
                <w:sz w:val="20"/>
                <w:szCs w:val="20"/>
              </w:rPr>
            </w:pPr>
            <w:r w:rsidRPr="00085C37">
              <w:rPr>
                <w:sz w:val="20"/>
                <w:szCs w:val="20"/>
              </w:rPr>
              <w:t>133,3</w:t>
            </w:r>
          </w:p>
        </w:tc>
        <w:tc>
          <w:tcPr>
            <w:tcW w:w="992" w:type="dxa"/>
            <w:vAlign w:val="center"/>
          </w:tcPr>
          <w:p w:rsidR="007D1917" w:rsidRPr="003831EF" w:rsidRDefault="007D1917" w:rsidP="003831EF">
            <w:pPr>
              <w:tabs>
                <w:tab w:val="left" w:pos="9923"/>
              </w:tabs>
              <w:ind w:right="-3"/>
              <w:jc w:val="center"/>
              <w:rPr>
                <w:sz w:val="20"/>
                <w:szCs w:val="20"/>
              </w:rPr>
            </w:pPr>
            <w:r>
              <w:rPr>
                <w:sz w:val="20"/>
                <w:szCs w:val="20"/>
              </w:rPr>
              <w:t>2</w:t>
            </w:r>
          </w:p>
        </w:tc>
        <w:tc>
          <w:tcPr>
            <w:tcW w:w="992" w:type="dxa"/>
            <w:vAlign w:val="center"/>
          </w:tcPr>
          <w:p w:rsidR="007D1917" w:rsidRPr="003831EF" w:rsidRDefault="007D1917" w:rsidP="003831EF">
            <w:pPr>
              <w:jc w:val="center"/>
              <w:rPr>
                <w:sz w:val="20"/>
                <w:szCs w:val="20"/>
              </w:rPr>
            </w:pPr>
            <w:r>
              <w:rPr>
                <w:sz w:val="20"/>
                <w:szCs w:val="20"/>
              </w:rPr>
              <w:t>2</w:t>
            </w:r>
          </w:p>
        </w:tc>
      </w:tr>
      <w:tr w:rsidR="007D1917" w:rsidRPr="00466605" w:rsidTr="00085C37">
        <w:tc>
          <w:tcPr>
            <w:tcW w:w="3652" w:type="dxa"/>
            <w:vAlign w:val="center"/>
          </w:tcPr>
          <w:p w:rsidR="007D1917" w:rsidRPr="003831EF" w:rsidRDefault="007D1917" w:rsidP="0031390C">
            <w:pPr>
              <w:snapToGrid w:val="0"/>
              <w:rPr>
                <w:sz w:val="18"/>
                <w:szCs w:val="18"/>
              </w:rPr>
            </w:pPr>
            <w:r w:rsidRPr="003831EF">
              <w:rPr>
                <w:sz w:val="18"/>
                <w:szCs w:val="18"/>
              </w:rPr>
              <w:t>Налоги на имущество, в т.ч.:</w:t>
            </w:r>
          </w:p>
        </w:tc>
        <w:tc>
          <w:tcPr>
            <w:tcW w:w="992" w:type="dxa"/>
            <w:vAlign w:val="center"/>
          </w:tcPr>
          <w:p w:rsidR="007D1917" w:rsidRPr="003831EF" w:rsidRDefault="007D1917" w:rsidP="0039796A">
            <w:pPr>
              <w:widowControl w:val="0"/>
              <w:numPr>
                <w:ilvl w:val="12"/>
                <w:numId w:val="0"/>
              </w:numPr>
              <w:jc w:val="center"/>
              <w:rPr>
                <w:sz w:val="20"/>
                <w:szCs w:val="20"/>
              </w:rPr>
            </w:pPr>
            <w:r>
              <w:rPr>
                <w:sz w:val="20"/>
                <w:szCs w:val="20"/>
              </w:rPr>
              <w:t>45</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20</w:t>
            </w:r>
          </w:p>
        </w:tc>
        <w:tc>
          <w:tcPr>
            <w:tcW w:w="992" w:type="dxa"/>
            <w:vAlign w:val="center"/>
          </w:tcPr>
          <w:p w:rsidR="007D1917" w:rsidRPr="00085C37" w:rsidRDefault="007D1917" w:rsidP="00085C37">
            <w:pPr>
              <w:jc w:val="center"/>
              <w:rPr>
                <w:sz w:val="20"/>
                <w:szCs w:val="20"/>
              </w:rPr>
            </w:pPr>
            <w:r w:rsidRPr="00085C37">
              <w:rPr>
                <w:sz w:val="20"/>
                <w:szCs w:val="20"/>
              </w:rPr>
              <w:t>-25</w:t>
            </w:r>
          </w:p>
        </w:tc>
        <w:tc>
          <w:tcPr>
            <w:tcW w:w="992" w:type="dxa"/>
            <w:vAlign w:val="center"/>
          </w:tcPr>
          <w:p w:rsidR="007D1917" w:rsidRPr="00085C37" w:rsidRDefault="007D1917" w:rsidP="00085C37">
            <w:pPr>
              <w:jc w:val="center"/>
              <w:rPr>
                <w:sz w:val="20"/>
                <w:szCs w:val="20"/>
              </w:rPr>
            </w:pPr>
            <w:r w:rsidRPr="00085C37">
              <w:rPr>
                <w:sz w:val="20"/>
                <w:szCs w:val="20"/>
              </w:rPr>
              <w:t>44,4</w:t>
            </w:r>
          </w:p>
        </w:tc>
        <w:tc>
          <w:tcPr>
            <w:tcW w:w="992" w:type="dxa"/>
            <w:vAlign w:val="center"/>
          </w:tcPr>
          <w:p w:rsidR="007D1917" w:rsidRPr="003831EF" w:rsidRDefault="007D1917" w:rsidP="003831EF">
            <w:pPr>
              <w:tabs>
                <w:tab w:val="left" w:pos="9923"/>
              </w:tabs>
              <w:ind w:right="-3"/>
              <w:jc w:val="center"/>
              <w:rPr>
                <w:sz w:val="20"/>
                <w:szCs w:val="20"/>
              </w:rPr>
            </w:pPr>
            <w:r>
              <w:rPr>
                <w:sz w:val="20"/>
                <w:szCs w:val="20"/>
              </w:rPr>
              <w:t>20</w:t>
            </w:r>
          </w:p>
        </w:tc>
        <w:tc>
          <w:tcPr>
            <w:tcW w:w="992" w:type="dxa"/>
            <w:vAlign w:val="center"/>
          </w:tcPr>
          <w:p w:rsidR="007D1917" w:rsidRPr="003831EF" w:rsidRDefault="007D1917" w:rsidP="003831EF">
            <w:pPr>
              <w:jc w:val="center"/>
              <w:rPr>
                <w:sz w:val="20"/>
                <w:szCs w:val="20"/>
              </w:rPr>
            </w:pPr>
            <w:r>
              <w:rPr>
                <w:sz w:val="20"/>
                <w:szCs w:val="20"/>
              </w:rPr>
              <w:t>20</w:t>
            </w:r>
          </w:p>
        </w:tc>
      </w:tr>
      <w:tr w:rsidR="007D1917" w:rsidRPr="00466605" w:rsidTr="00085C37">
        <w:tc>
          <w:tcPr>
            <w:tcW w:w="3652" w:type="dxa"/>
          </w:tcPr>
          <w:p w:rsidR="007D1917" w:rsidRPr="003831EF" w:rsidRDefault="007D1917"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7D1917" w:rsidRPr="00C064DB" w:rsidRDefault="007D1917" w:rsidP="00C064DB">
            <w:pPr>
              <w:widowControl w:val="0"/>
              <w:numPr>
                <w:ilvl w:val="12"/>
                <w:numId w:val="0"/>
              </w:numPr>
              <w:jc w:val="right"/>
              <w:rPr>
                <w:i/>
                <w:sz w:val="20"/>
                <w:szCs w:val="20"/>
              </w:rPr>
            </w:pPr>
            <w:r>
              <w:rPr>
                <w:i/>
                <w:sz w:val="20"/>
                <w:szCs w:val="20"/>
              </w:rPr>
              <w:t>6</w:t>
            </w:r>
          </w:p>
        </w:tc>
        <w:tc>
          <w:tcPr>
            <w:tcW w:w="992" w:type="dxa"/>
            <w:vAlign w:val="center"/>
          </w:tcPr>
          <w:p w:rsidR="007D1917" w:rsidRPr="00C064DB" w:rsidRDefault="007D1917" w:rsidP="00C064DB">
            <w:pPr>
              <w:widowControl w:val="0"/>
              <w:numPr>
                <w:ilvl w:val="12"/>
                <w:numId w:val="0"/>
              </w:numPr>
              <w:jc w:val="right"/>
              <w:rPr>
                <w:i/>
                <w:sz w:val="20"/>
                <w:szCs w:val="20"/>
              </w:rPr>
            </w:pPr>
            <w:r>
              <w:rPr>
                <w:i/>
                <w:sz w:val="20"/>
                <w:szCs w:val="20"/>
              </w:rPr>
              <w:t>3</w:t>
            </w:r>
          </w:p>
        </w:tc>
        <w:tc>
          <w:tcPr>
            <w:tcW w:w="992" w:type="dxa"/>
            <w:vAlign w:val="center"/>
          </w:tcPr>
          <w:p w:rsidR="007D1917" w:rsidRPr="00085C37" w:rsidRDefault="007D1917" w:rsidP="00085C37">
            <w:pPr>
              <w:jc w:val="right"/>
              <w:rPr>
                <w:i/>
                <w:sz w:val="20"/>
                <w:szCs w:val="20"/>
              </w:rPr>
            </w:pPr>
            <w:r w:rsidRPr="00085C37">
              <w:rPr>
                <w:i/>
                <w:sz w:val="20"/>
                <w:szCs w:val="20"/>
              </w:rPr>
              <w:t>-3</w:t>
            </w:r>
          </w:p>
        </w:tc>
        <w:tc>
          <w:tcPr>
            <w:tcW w:w="992" w:type="dxa"/>
            <w:vAlign w:val="center"/>
          </w:tcPr>
          <w:p w:rsidR="007D1917" w:rsidRPr="00085C37" w:rsidRDefault="007D1917" w:rsidP="00085C37">
            <w:pPr>
              <w:jc w:val="right"/>
              <w:rPr>
                <w:i/>
                <w:sz w:val="20"/>
                <w:szCs w:val="20"/>
              </w:rPr>
            </w:pPr>
            <w:r w:rsidRPr="00085C37">
              <w:rPr>
                <w:i/>
                <w:sz w:val="20"/>
                <w:szCs w:val="20"/>
              </w:rPr>
              <w:t>50</w:t>
            </w:r>
          </w:p>
        </w:tc>
        <w:tc>
          <w:tcPr>
            <w:tcW w:w="992" w:type="dxa"/>
            <w:vAlign w:val="center"/>
          </w:tcPr>
          <w:p w:rsidR="007D1917" w:rsidRPr="00C064DB" w:rsidRDefault="007D1917" w:rsidP="00C064DB">
            <w:pPr>
              <w:tabs>
                <w:tab w:val="left" w:pos="9923"/>
              </w:tabs>
              <w:ind w:right="-3"/>
              <w:jc w:val="right"/>
              <w:rPr>
                <w:i/>
                <w:sz w:val="20"/>
                <w:szCs w:val="20"/>
              </w:rPr>
            </w:pPr>
            <w:r>
              <w:rPr>
                <w:i/>
                <w:sz w:val="20"/>
                <w:szCs w:val="20"/>
              </w:rPr>
              <w:t>3</w:t>
            </w:r>
          </w:p>
        </w:tc>
        <w:tc>
          <w:tcPr>
            <w:tcW w:w="992" w:type="dxa"/>
            <w:vAlign w:val="center"/>
          </w:tcPr>
          <w:p w:rsidR="007D1917" w:rsidRPr="00C064DB" w:rsidRDefault="007D1917" w:rsidP="00C064DB">
            <w:pPr>
              <w:jc w:val="right"/>
              <w:rPr>
                <w:i/>
                <w:sz w:val="20"/>
                <w:szCs w:val="20"/>
              </w:rPr>
            </w:pPr>
            <w:r>
              <w:rPr>
                <w:i/>
                <w:sz w:val="20"/>
                <w:szCs w:val="20"/>
              </w:rPr>
              <w:t>3</w:t>
            </w:r>
          </w:p>
        </w:tc>
      </w:tr>
      <w:tr w:rsidR="007D1917" w:rsidRPr="00466605" w:rsidTr="00085C37">
        <w:tc>
          <w:tcPr>
            <w:tcW w:w="3652" w:type="dxa"/>
          </w:tcPr>
          <w:p w:rsidR="007D1917" w:rsidRPr="003831EF" w:rsidRDefault="007D1917"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7D1917" w:rsidRPr="00C064DB" w:rsidRDefault="007D1917" w:rsidP="00C064DB">
            <w:pPr>
              <w:widowControl w:val="0"/>
              <w:numPr>
                <w:ilvl w:val="12"/>
                <w:numId w:val="0"/>
              </w:numPr>
              <w:jc w:val="right"/>
              <w:rPr>
                <w:i/>
                <w:sz w:val="20"/>
                <w:szCs w:val="20"/>
              </w:rPr>
            </w:pPr>
            <w:r>
              <w:rPr>
                <w:i/>
                <w:sz w:val="20"/>
                <w:szCs w:val="20"/>
              </w:rPr>
              <w:t>12</w:t>
            </w:r>
          </w:p>
        </w:tc>
        <w:tc>
          <w:tcPr>
            <w:tcW w:w="992" w:type="dxa"/>
            <w:vAlign w:val="center"/>
          </w:tcPr>
          <w:p w:rsidR="007D1917" w:rsidRPr="00C064DB" w:rsidRDefault="007D1917" w:rsidP="00C064DB">
            <w:pPr>
              <w:widowControl w:val="0"/>
              <w:numPr>
                <w:ilvl w:val="12"/>
                <w:numId w:val="0"/>
              </w:numPr>
              <w:jc w:val="right"/>
              <w:rPr>
                <w:i/>
                <w:sz w:val="20"/>
                <w:szCs w:val="20"/>
              </w:rPr>
            </w:pPr>
            <w:r>
              <w:rPr>
                <w:i/>
                <w:sz w:val="20"/>
                <w:szCs w:val="20"/>
              </w:rPr>
              <w:t>12</w:t>
            </w:r>
          </w:p>
        </w:tc>
        <w:tc>
          <w:tcPr>
            <w:tcW w:w="992" w:type="dxa"/>
            <w:vAlign w:val="center"/>
          </w:tcPr>
          <w:p w:rsidR="007D1917" w:rsidRPr="00085C37" w:rsidRDefault="007D1917" w:rsidP="00085C37">
            <w:pPr>
              <w:jc w:val="right"/>
              <w:rPr>
                <w:i/>
                <w:sz w:val="20"/>
                <w:szCs w:val="20"/>
              </w:rPr>
            </w:pPr>
            <w:r w:rsidRPr="00085C37">
              <w:rPr>
                <w:i/>
                <w:sz w:val="20"/>
                <w:szCs w:val="20"/>
              </w:rPr>
              <w:t>0</w:t>
            </w:r>
          </w:p>
        </w:tc>
        <w:tc>
          <w:tcPr>
            <w:tcW w:w="992" w:type="dxa"/>
            <w:vAlign w:val="center"/>
          </w:tcPr>
          <w:p w:rsidR="007D1917" w:rsidRPr="00085C37" w:rsidRDefault="007D1917" w:rsidP="00085C37">
            <w:pPr>
              <w:jc w:val="right"/>
              <w:rPr>
                <w:i/>
                <w:sz w:val="20"/>
                <w:szCs w:val="20"/>
              </w:rPr>
            </w:pPr>
            <w:r w:rsidRPr="00085C37">
              <w:rPr>
                <w:i/>
                <w:sz w:val="20"/>
                <w:szCs w:val="20"/>
              </w:rPr>
              <w:t>100</w:t>
            </w:r>
          </w:p>
        </w:tc>
        <w:tc>
          <w:tcPr>
            <w:tcW w:w="992" w:type="dxa"/>
            <w:vAlign w:val="center"/>
          </w:tcPr>
          <w:p w:rsidR="007D1917" w:rsidRPr="00C064DB" w:rsidRDefault="007D1917" w:rsidP="002E597F">
            <w:pPr>
              <w:tabs>
                <w:tab w:val="left" w:pos="9923"/>
              </w:tabs>
              <w:ind w:right="-3"/>
              <w:jc w:val="right"/>
              <w:rPr>
                <w:i/>
                <w:sz w:val="20"/>
                <w:szCs w:val="20"/>
              </w:rPr>
            </w:pPr>
            <w:r>
              <w:rPr>
                <w:i/>
                <w:sz w:val="20"/>
                <w:szCs w:val="20"/>
              </w:rPr>
              <w:t>12</w:t>
            </w:r>
          </w:p>
        </w:tc>
        <w:tc>
          <w:tcPr>
            <w:tcW w:w="992" w:type="dxa"/>
            <w:vAlign w:val="center"/>
          </w:tcPr>
          <w:p w:rsidR="007D1917" w:rsidRPr="00C064DB" w:rsidRDefault="007D1917" w:rsidP="00C064DB">
            <w:pPr>
              <w:jc w:val="right"/>
              <w:rPr>
                <w:i/>
                <w:sz w:val="20"/>
                <w:szCs w:val="20"/>
              </w:rPr>
            </w:pPr>
            <w:r>
              <w:rPr>
                <w:i/>
                <w:sz w:val="20"/>
                <w:szCs w:val="20"/>
              </w:rPr>
              <w:t>12</w:t>
            </w:r>
          </w:p>
        </w:tc>
      </w:tr>
      <w:tr w:rsidR="007D1917" w:rsidRPr="00466605" w:rsidTr="00085C37">
        <w:tc>
          <w:tcPr>
            <w:tcW w:w="3652" w:type="dxa"/>
          </w:tcPr>
          <w:p w:rsidR="007D1917" w:rsidRPr="003831EF" w:rsidRDefault="007D1917"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7D1917" w:rsidRPr="00C064DB" w:rsidRDefault="007D1917" w:rsidP="00C064DB">
            <w:pPr>
              <w:widowControl w:val="0"/>
              <w:numPr>
                <w:ilvl w:val="12"/>
                <w:numId w:val="0"/>
              </w:numPr>
              <w:jc w:val="right"/>
              <w:rPr>
                <w:i/>
                <w:sz w:val="20"/>
                <w:szCs w:val="20"/>
              </w:rPr>
            </w:pPr>
            <w:r>
              <w:rPr>
                <w:i/>
                <w:sz w:val="20"/>
                <w:szCs w:val="20"/>
              </w:rPr>
              <w:t>27</w:t>
            </w:r>
          </w:p>
        </w:tc>
        <w:tc>
          <w:tcPr>
            <w:tcW w:w="992" w:type="dxa"/>
            <w:vAlign w:val="center"/>
          </w:tcPr>
          <w:p w:rsidR="007D1917" w:rsidRPr="00C064DB" w:rsidRDefault="007D1917" w:rsidP="00C064DB">
            <w:pPr>
              <w:widowControl w:val="0"/>
              <w:numPr>
                <w:ilvl w:val="12"/>
                <w:numId w:val="0"/>
              </w:numPr>
              <w:jc w:val="right"/>
              <w:rPr>
                <w:i/>
                <w:sz w:val="20"/>
                <w:szCs w:val="20"/>
              </w:rPr>
            </w:pPr>
            <w:r>
              <w:rPr>
                <w:i/>
                <w:sz w:val="20"/>
                <w:szCs w:val="20"/>
              </w:rPr>
              <w:t>5</w:t>
            </w:r>
          </w:p>
        </w:tc>
        <w:tc>
          <w:tcPr>
            <w:tcW w:w="992" w:type="dxa"/>
            <w:vAlign w:val="center"/>
          </w:tcPr>
          <w:p w:rsidR="007D1917" w:rsidRPr="00085C37" w:rsidRDefault="007D1917" w:rsidP="00085C37">
            <w:pPr>
              <w:jc w:val="right"/>
              <w:rPr>
                <w:i/>
                <w:sz w:val="20"/>
                <w:szCs w:val="20"/>
              </w:rPr>
            </w:pPr>
            <w:r w:rsidRPr="00085C37">
              <w:rPr>
                <w:i/>
                <w:sz w:val="20"/>
                <w:szCs w:val="20"/>
              </w:rPr>
              <w:t>-22</w:t>
            </w:r>
          </w:p>
        </w:tc>
        <w:tc>
          <w:tcPr>
            <w:tcW w:w="992" w:type="dxa"/>
            <w:vAlign w:val="center"/>
          </w:tcPr>
          <w:p w:rsidR="007D1917" w:rsidRPr="00085C37" w:rsidRDefault="007D1917" w:rsidP="00085C37">
            <w:pPr>
              <w:jc w:val="right"/>
              <w:rPr>
                <w:i/>
                <w:sz w:val="20"/>
                <w:szCs w:val="20"/>
              </w:rPr>
            </w:pPr>
            <w:r w:rsidRPr="00085C37">
              <w:rPr>
                <w:i/>
                <w:sz w:val="20"/>
                <w:szCs w:val="20"/>
              </w:rPr>
              <w:t>18,5</w:t>
            </w:r>
          </w:p>
        </w:tc>
        <w:tc>
          <w:tcPr>
            <w:tcW w:w="992" w:type="dxa"/>
            <w:vAlign w:val="center"/>
          </w:tcPr>
          <w:p w:rsidR="007D1917" w:rsidRPr="00C064DB" w:rsidRDefault="007D1917" w:rsidP="00C064DB">
            <w:pPr>
              <w:tabs>
                <w:tab w:val="left" w:pos="9923"/>
              </w:tabs>
              <w:ind w:right="-3"/>
              <w:jc w:val="right"/>
              <w:rPr>
                <w:i/>
                <w:sz w:val="20"/>
                <w:szCs w:val="20"/>
              </w:rPr>
            </w:pPr>
            <w:r>
              <w:rPr>
                <w:i/>
                <w:sz w:val="20"/>
                <w:szCs w:val="20"/>
              </w:rPr>
              <w:t>5</w:t>
            </w:r>
          </w:p>
        </w:tc>
        <w:tc>
          <w:tcPr>
            <w:tcW w:w="992" w:type="dxa"/>
            <w:vAlign w:val="center"/>
          </w:tcPr>
          <w:p w:rsidR="007D1917" w:rsidRPr="00C064DB" w:rsidRDefault="007D1917" w:rsidP="00C064DB">
            <w:pPr>
              <w:jc w:val="right"/>
              <w:rPr>
                <w:i/>
                <w:sz w:val="20"/>
                <w:szCs w:val="20"/>
              </w:rPr>
            </w:pPr>
            <w:r>
              <w:rPr>
                <w:i/>
                <w:sz w:val="20"/>
                <w:szCs w:val="20"/>
              </w:rPr>
              <w:t>5</w:t>
            </w:r>
          </w:p>
        </w:tc>
      </w:tr>
      <w:tr w:rsidR="007D1917" w:rsidRPr="00466605" w:rsidTr="00085C37">
        <w:tc>
          <w:tcPr>
            <w:tcW w:w="3652" w:type="dxa"/>
            <w:vAlign w:val="bottom"/>
          </w:tcPr>
          <w:p w:rsidR="007D1917" w:rsidRPr="004A2CC3" w:rsidRDefault="007D1917"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7D1917" w:rsidRPr="004A2CC3" w:rsidRDefault="007D1917" w:rsidP="0031390C">
            <w:pPr>
              <w:widowControl w:val="0"/>
              <w:numPr>
                <w:ilvl w:val="12"/>
                <w:numId w:val="0"/>
              </w:numPr>
              <w:jc w:val="center"/>
              <w:rPr>
                <w:sz w:val="18"/>
                <w:szCs w:val="18"/>
              </w:rPr>
            </w:pPr>
            <w:r>
              <w:rPr>
                <w:sz w:val="18"/>
                <w:szCs w:val="18"/>
              </w:rPr>
              <w:t>0,0</w:t>
            </w:r>
          </w:p>
        </w:tc>
        <w:tc>
          <w:tcPr>
            <w:tcW w:w="992" w:type="dxa"/>
            <w:vAlign w:val="center"/>
          </w:tcPr>
          <w:p w:rsidR="007D1917" w:rsidRPr="004A2CC3" w:rsidRDefault="007D1917" w:rsidP="0031390C">
            <w:pPr>
              <w:widowControl w:val="0"/>
              <w:numPr>
                <w:ilvl w:val="12"/>
                <w:numId w:val="0"/>
              </w:numPr>
              <w:jc w:val="center"/>
              <w:rPr>
                <w:sz w:val="18"/>
                <w:szCs w:val="18"/>
              </w:rPr>
            </w:pPr>
            <w:r>
              <w:rPr>
                <w:sz w:val="18"/>
                <w:szCs w:val="18"/>
              </w:rPr>
              <w:t>1</w:t>
            </w:r>
          </w:p>
        </w:tc>
        <w:tc>
          <w:tcPr>
            <w:tcW w:w="992" w:type="dxa"/>
            <w:vAlign w:val="center"/>
          </w:tcPr>
          <w:p w:rsidR="007D1917" w:rsidRPr="00085C37" w:rsidRDefault="007D1917" w:rsidP="00085C37">
            <w:pPr>
              <w:jc w:val="center"/>
              <w:rPr>
                <w:sz w:val="20"/>
                <w:szCs w:val="20"/>
              </w:rPr>
            </w:pPr>
            <w:r w:rsidRPr="00085C37">
              <w:rPr>
                <w:sz w:val="20"/>
                <w:szCs w:val="20"/>
              </w:rPr>
              <w:t>1</w:t>
            </w:r>
          </w:p>
        </w:tc>
        <w:tc>
          <w:tcPr>
            <w:tcW w:w="992" w:type="dxa"/>
            <w:vAlign w:val="center"/>
          </w:tcPr>
          <w:p w:rsidR="007D1917" w:rsidRPr="00085C37" w:rsidRDefault="007D1917" w:rsidP="00085C37">
            <w:pPr>
              <w:jc w:val="center"/>
              <w:rPr>
                <w:sz w:val="20"/>
                <w:szCs w:val="20"/>
              </w:rPr>
            </w:pPr>
            <w:r>
              <w:rPr>
                <w:sz w:val="20"/>
                <w:szCs w:val="20"/>
              </w:rPr>
              <w:t>-</w:t>
            </w:r>
          </w:p>
        </w:tc>
        <w:tc>
          <w:tcPr>
            <w:tcW w:w="992" w:type="dxa"/>
            <w:vAlign w:val="center"/>
          </w:tcPr>
          <w:p w:rsidR="007D1917" w:rsidRPr="004A2CC3" w:rsidRDefault="007D1917" w:rsidP="003831EF">
            <w:pPr>
              <w:tabs>
                <w:tab w:val="left" w:pos="9923"/>
              </w:tabs>
              <w:ind w:right="-3"/>
              <w:jc w:val="center"/>
              <w:rPr>
                <w:sz w:val="18"/>
                <w:szCs w:val="18"/>
              </w:rPr>
            </w:pPr>
            <w:r>
              <w:rPr>
                <w:sz w:val="18"/>
                <w:szCs w:val="18"/>
              </w:rPr>
              <w:t>1</w:t>
            </w:r>
          </w:p>
        </w:tc>
        <w:tc>
          <w:tcPr>
            <w:tcW w:w="992" w:type="dxa"/>
            <w:vAlign w:val="center"/>
          </w:tcPr>
          <w:p w:rsidR="007D1917" w:rsidRPr="004A2CC3" w:rsidRDefault="007D1917" w:rsidP="003831EF">
            <w:pPr>
              <w:jc w:val="center"/>
              <w:rPr>
                <w:sz w:val="18"/>
                <w:szCs w:val="18"/>
              </w:rPr>
            </w:pPr>
            <w:r>
              <w:rPr>
                <w:sz w:val="18"/>
                <w:szCs w:val="18"/>
              </w:rPr>
              <w:t>1</w:t>
            </w:r>
          </w:p>
        </w:tc>
      </w:tr>
      <w:tr w:rsidR="007D1917" w:rsidRPr="00466605" w:rsidTr="00085C37">
        <w:tc>
          <w:tcPr>
            <w:tcW w:w="3652" w:type="dxa"/>
          </w:tcPr>
          <w:p w:rsidR="007D1917" w:rsidRPr="00F6314F" w:rsidRDefault="007D1917"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7D1917" w:rsidRPr="00F6314F" w:rsidRDefault="007D1917" w:rsidP="00AE11E4">
            <w:pPr>
              <w:widowControl w:val="0"/>
              <w:numPr>
                <w:ilvl w:val="12"/>
                <w:numId w:val="0"/>
              </w:numPr>
              <w:jc w:val="center"/>
              <w:rPr>
                <w:b/>
                <w:sz w:val="20"/>
                <w:szCs w:val="20"/>
              </w:rPr>
            </w:pPr>
            <w:r>
              <w:rPr>
                <w:b/>
                <w:sz w:val="20"/>
                <w:szCs w:val="20"/>
              </w:rPr>
              <w:t>5477,8</w:t>
            </w:r>
          </w:p>
        </w:tc>
        <w:tc>
          <w:tcPr>
            <w:tcW w:w="992" w:type="dxa"/>
            <w:vAlign w:val="center"/>
          </w:tcPr>
          <w:p w:rsidR="007D1917" w:rsidRPr="00F6314F" w:rsidRDefault="007D1917" w:rsidP="0031390C">
            <w:pPr>
              <w:widowControl w:val="0"/>
              <w:numPr>
                <w:ilvl w:val="12"/>
                <w:numId w:val="0"/>
              </w:numPr>
              <w:jc w:val="center"/>
              <w:rPr>
                <w:b/>
                <w:sz w:val="20"/>
                <w:szCs w:val="20"/>
              </w:rPr>
            </w:pPr>
            <w:r>
              <w:rPr>
                <w:b/>
                <w:sz w:val="20"/>
                <w:szCs w:val="20"/>
              </w:rPr>
              <w:t>4616,5</w:t>
            </w:r>
          </w:p>
        </w:tc>
        <w:tc>
          <w:tcPr>
            <w:tcW w:w="992" w:type="dxa"/>
            <w:vAlign w:val="center"/>
          </w:tcPr>
          <w:p w:rsidR="007D1917" w:rsidRPr="00085C37" w:rsidRDefault="007D1917" w:rsidP="00085C37">
            <w:pPr>
              <w:jc w:val="center"/>
              <w:rPr>
                <w:b/>
                <w:sz w:val="20"/>
                <w:szCs w:val="20"/>
              </w:rPr>
            </w:pPr>
            <w:r w:rsidRPr="00085C37">
              <w:rPr>
                <w:b/>
                <w:sz w:val="20"/>
                <w:szCs w:val="20"/>
              </w:rPr>
              <w:t>-861,3</w:t>
            </w:r>
          </w:p>
        </w:tc>
        <w:tc>
          <w:tcPr>
            <w:tcW w:w="992" w:type="dxa"/>
            <w:vAlign w:val="center"/>
          </w:tcPr>
          <w:p w:rsidR="007D1917" w:rsidRPr="00085C37" w:rsidRDefault="007D1917" w:rsidP="00085C37">
            <w:pPr>
              <w:jc w:val="center"/>
              <w:rPr>
                <w:b/>
                <w:sz w:val="20"/>
                <w:szCs w:val="20"/>
              </w:rPr>
            </w:pPr>
            <w:r w:rsidRPr="00085C37">
              <w:rPr>
                <w:b/>
                <w:sz w:val="20"/>
                <w:szCs w:val="20"/>
              </w:rPr>
              <w:t>84,3</w:t>
            </w:r>
          </w:p>
        </w:tc>
        <w:tc>
          <w:tcPr>
            <w:tcW w:w="992" w:type="dxa"/>
            <w:vAlign w:val="center"/>
          </w:tcPr>
          <w:p w:rsidR="007D1917" w:rsidRPr="00F6314F" w:rsidRDefault="007D1917" w:rsidP="003831EF">
            <w:pPr>
              <w:snapToGrid w:val="0"/>
              <w:jc w:val="center"/>
              <w:rPr>
                <w:b/>
                <w:bCs/>
                <w:sz w:val="20"/>
                <w:szCs w:val="20"/>
              </w:rPr>
            </w:pPr>
            <w:r>
              <w:rPr>
                <w:b/>
                <w:bCs/>
                <w:sz w:val="20"/>
                <w:szCs w:val="20"/>
              </w:rPr>
              <w:t>4292,8</w:t>
            </w:r>
          </w:p>
        </w:tc>
        <w:tc>
          <w:tcPr>
            <w:tcW w:w="992" w:type="dxa"/>
            <w:vAlign w:val="center"/>
          </w:tcPr>
          <w:p w:rsidR="007D1917" w:rsidRPr="00F6314F" w:rsidRDefault="007D1917" w:rsidP="003831EF">
            <w:pPr>
              <w:jc w:val="center"/>
              <w:rPr>
                <w:b/>
                <w:sz w:val="20"/>
                <w:szCs w:val="20"/>
              </w:rPr>
            </w:pPr>
            <w:r>
              <w:rPr>
                <w:b/>
                <w:sz w:val="20"/>
                <w:szCs w:val="20"/>
              </w:rPr>
              <w:t>14460,1</w:t>
            </w:r>
          </w:p>
        </w:tc>
      </w:tr>
      <w:tr w:rsidR="007D1917" w:rsidRPr="00466605" w:rsidTr="00085C37">
        <w:tc>
          <w:tcPr>
            <w:tcW w:w="3652" w:type="dxa"/>
          </w:tcPr>
          <w:p w:rsidR="007D1917" w:rsidRPr="003831EF" w:rsidRDefault="007D1917"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3097,6</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4272,4</w:t>
            </w:r>
          </w:p>
        </w:tc>
        <w:tc>
          <w:tcPr>
            <w:tcW w:w="992" w:type="dxa"/>
            <w:vAlign w:val="center"/>
          </w:tcPr>
          <w:p w:rsidR="007D1917" w:rsidRPr="00085C37" w:rsidRDefault="007D1917" w:rsidP="00085C37">
            <w:pPr>
              <w:jc w:val="center"/>
              <w:rPr>
                <w:sz w:val="20"/>
                <w:szCs w:val="20"/>
              </w:rPr>
            </w:pPr>
            <w:r w:rsidRPr="00085C37">
              <w:rPr>
                <w:sz w:val="20"/>
                <w:szCs w:val="20"/>
              </w:rPr>
              <w:t>1174,8</w:t>
            </w:r>
          </w:p>
        </w:tc>
        <w:tc>
          <w:tcPr>
            <w:tcW w:w="992" w:type="dxa"/>
            <w:vAlign w:val="center"/>
          </w:tcPr>
          <w:p w:rsidR="007D1917" w:rsidRPr="00085C37" w:rsidRDefault="007D1917" w:rsidP="00085C37">
            <w:pPr>
              <w:jc w:val="center"/>
              <w:rPr>
                <w:sz w:val="20"/>
                <w:szCs w:val="20"/>
              </w:rPr>
            </w:pPr>
            <w:r w:rsidRPr="00085C37">
              <w:rPr>
                <w:sz w:val="20"/>
                <w:szCs w:val="20"/>
              </w:rPr>
              <w:t>137,9</w:t>
            </w:r>
          </w:p>
        </w:tc>
        <w:tc>
          <w:tcPr>
            <w:tcW w:w="992" w:type="dxa"/>
            <w:vAlign w:val="center"/>
          </w:tcPr>
          <w:p w:rsidR="007D1917" w:rsidRPr="003831EF" w:rsidRDefault="007D1917" w:rsidP="003831EF">
            <w:pPr>
              <w:snapToGrid w:val="0"/>
              <w:jc w:val="center"/>
              <w:rPr>
                <w:bCs/>
                <w:sz w:val="20"/>
                <w:szCs w:val="20"/>
              </w:rPr>
            </w:pPr>
            <w:r>
              <w:rPr>
                <w:bCs/>
                <w:sz w:val="20"/>
                <w:szCs w:val="20"/>
              </w:rPr>
              <w:t>3943,7</w:t>
            </w:r>
          </w:p>
        </w:tc>
        <w:tc>
          <w:tcPr>
            <w:tcW w:w="992" w:type="dxa"/>
            <w:vAlign w:val="center"/>
          </w:tcPr>
          <w:p w:rsidR="007D1917" w:rsidRPr="003831EF" w:rsidRDefault="007D1917" w:rsidP="003831EF">
            <w:pPr>
              <w:jc w:val="center"/>
              <w:rPr>
                <w:sz w:val="20"/>
                <w:szCs w:val="20"/>
              </w:rPr>
            </w:pPr>
            <w:r>
              <w:rPr>
                <w:sz w:val="20"/>
                <w:szCs w:val="20"/>
              </w:rPr>
              <w:t>14105,7</w:t>
            </w:r>
          </w:p>
        </w:tc>
      </w:tr>
      <w:tr w:rsidR="007D1917" w:rsidRPr="00466605" w:rsidTr="00085C37">
        <w:tc>
          <w:tcPr>
            <w:tcW w:w="3652" w:type="dxa"/>
          </w:tcPr>
          <w:p w:rsidR="007D1917" w:rsidRPr="003831EF" w:rsidRDefault="007D1917"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200</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200</w:t>
            </w:r>
          </w:p>
        </w:tc>
        <w:tc>
          <w:tcPr>
            <w:tcW w:w="992" w:type="dxa"/>
            <w:vAlign w:val="center"/>
          </w:tcPr>
          <w:p w:rsidR="007D1917" w:rsidRPr="00085C37" w:rsidRDefault="007D1917" w:rsidP="00085C37">
            <w:pPr>
              <w:jc w:val="center"/>
              <w:rPr>
                <w:sz w:val="20"/>
                <w:szCs w:val="20"/>
              </w:rPr>
            </w:pPr>
            <w:r w:rsidRPr="00085C37">
              <w:rPr>
                <w:sz w:val="20"/>
                <w:szCs w:val="20"/>
              </w:rPr>
              <w:t>0</w:t>
            </w:r>
          </w:p>
        </w:tc>
        <w:tc>
          <w:tcPr>
            <w:tcW w:w="992" w:type="dxa"/>
            <w:vAlign w:val="center"/>
          </w:tcPr>
          <w:p w:rsidR="007D1917" w:rsidRPr="00085C37" w:rsidRDefault="007D1917" w:rsidP="00085C37">
            <w:pPr>
              <w:jc w:val="center"/>
              <w:rPr>
                <w:sz w:val="20"/>
                <w:szCs w:val="20"/>
              </w:rPr>
            </w:pPr>
            <w:r w:rsidRPr="00085C37">
              <w:rPr>
                <w:sz w:val="20"/>
                <w:szCs w:val="20"/>
              </w:rPr>
              <w:t>100</w:t>
            </w:r>
          </w:p>
        </w:tc>
        <w:tc>
          <w:tcPr>
            <w:tcW w:w="992" w:type="dxa"/>
            <w:vAlign w:val="center"/>
          </w:tcPr>
          <w:p w:rsidR="007D1917" w:rsidRPr="003831EF" w:rsidRDefault="007D1917" w:rsidP="003831EF">
            <w:pPr>
              <w:snapToGrid w:val="0"/>
              <w:jc w:val="center"/>
              <w:rPr>
                <w:bCs/>
                <w:sz w:val="20"/>
                <w:szCs w:val="20"/>
              </w:rPr>
            </w:pPr>
            <w:r>
              <w:rPr>
                <w:bCs/>
                <w:sz w:val="20"/>
                <w:szCs w:val="20"/>
              </w:rPr>
              <w:t>200</w:t>
            </w:r>
          </w:p>
        </w:tc>
        <w:tc>
          <w:tcPr>
            <w:tcW w:w="992" w:type="dxa"/>
            <w:vAlign w:val="center"/>
          </w:tcPr>
          <w:p w:rsidR="007D1917" w:rsidRPr="003831EF" w:rsidRDefault="007D1917" w:rsidP="003831EF">
            <w:pPr>
              <w:jc w:val="center"/>
              <w:rPr>
                <w:sz w:val="20"/>
                <w:szCs w:val="20"/>
              </w:rPr>
            </w:pPr>
            <w:r>
              <w:rPr>
                <w:sz w:val="20"/>
                <w:szCs w:val="20"/>
              </w:rPr>
              <w:t>200</w:t>
            </w:r>
          </w:p>
        </w:tc>
      </w:tr>
      <w:tr w:rsidR="007D1917" w:rsidRPr="00466605" w:rsidTr="00085C37">
        <w:tc>
          <w:tcPr>
            <w:tcW w:w="3652" w:type="dxa"/>
          </w:tcPr>
          <w:p w:rsidR="007D1917" w:rsidRPr="003831EF" w:rsidRDefault="007D1917"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138</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144,1</w:t>
            </w:r>
          </w:p>
        </w:tc>
        <w:tc>
          <w:tcPr>
            <w:tcW w:w="992" w:type="dxa"/>
            <w:vAlign w:val="center"/>
          </w:tcPr>
          <w:p w:rsidR="007D1917" w:rsidRPr="00085C37" w:rsidRDefault="007D1917" w:rsidP="00085C37">
            <w:pPr>
              <w:jc w:val="center"/>
              <w:rPr>
                <w:sz w:val="20"/>
                <w:szCs w:val="20"/>
              </w:rPr>
            </w:pPr>
            <w:r w:rsidRPr="00085C37">
              <w:rPr>
                <w:sz w:val="20"/>
                <w:szCs w:val="20"/>
              </w:rPr>
              <w:t>6,1</w:t>
            </w:r>
          </w:p>
        </w:tc>
        <w:tc>
          <w:tcPr>
            <w:tcW w:w="992" w:type="dxa"/>
            <w:vAlign w:val="center"/>
          </w:tcPr>
          <w:p w:rsidR="007D1917" w:rsidRPr="00085C37" w:rsidRDefault="007D1917" w:rsidP="00085C37">
            <w:pPr>
              <w:jc w:val="center"/>
              <w:rPr>
                <w:sz w:val="20"/>
                <w:szCs w:val="20"/>
              </w:rPr>
            </w:pPr>
            <w:r w:rsidRPr="00085C37">
              <w:rPr>
                <w:sz w:val="20"/>
                <w:szCs w:val="20"/>
              </w:rPr>
              <w:t>104,4</w:t>
            </w:r>
          </w:p>
        </w:tc>
        <w:tc>
          <w:tcPr>
            <w:tcW w:w="992" w:type="dxa"/>
            <w:vAlign w:val="center"/>
          </w:tcPr>
          <w:p w:rsidR="007D1917" w:rsidRPr="003831EF" w:rsidRDefault="007D1917" w:rsidP="003831EF">
            <w:pPr>
              <w:snapToGrid w:val="0"/>
              <w:jc w:val="center"/>
              <w:rPr>
                <w:bCs/>
                <w:sz w:val="20"/>
                <w:szCs w:val="20"/>
              </w:rPr>
            </w:pPr>
            <w:r>
              <w:rPr>
                <w:bCs/>
                <w:sz w:val="20"/>
                <w:szCs w:val="20"/>
              </w:rPr>
              <w:t>149,1</w:t>
            </w:r>
          </w:p>
        </w:tc>
        <w:tc>
          <w:tcPr>
            <w:tcW w:w="992" w:type="dxa"/>
            <w:vAlign w:val="center"/>
          </w:tcPr>
          <w:p w:rsidR="007D1917" w:rsidRPr="003831EF" w:rsidRDefault="007D1917" w:rsidP="003831EF">
            <w:pPr>
              <w:jc w:val="center"/>
              <w:rPr>
                <w:sz w:val="20"/>
                <w:szCs w:val="20"/>
              </w:rPr>
            </w:pPr>
            <w:r>
              <w:rPr>
                <w:sz w:val="20"/>
                <w:szCs w:val="20"/>
              </w:rPr>
              <w:t>154,4</w:t>
            </w:r>
          </w:p>
        </w:tc>
      </w:tr>
      <w:tr w:rsidR="007D1917" w:rsidRPr="00466605" w:rsidTr="00085C37">
        <w:tc>
          <w:tcPr>
            <w:tcW w:w="3652" w:type="dxa"/>
          </w:tcPr>
          <w:p w:rsidR="007D1917" w:rsidRPr="003831EF" w:rsidRDefault="007D1917"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2042,2</w:t>
            </w:r>
          </w:p>
        </w:tc>
        <w:tc>
          <w:tcPr>
            <w:tcW w:w="992" w:type="dxa"/>
            <w:vAlign w:val="center"/>
          </w:tcPr>
          <w:p w:rsidR="007D1917" w:rsidRPr="003831EF" w:rsidRDefault="007D1917" w:rsidP="0031390C">
            <w:pPr>
              <w:widowControl w:val="0"/>
              <w:numPr>
                <w:ilvl w:val="12"/>
                <w:numId w:val="0"/>
              </w:numPr>
              <w:jc w:val="center"/>
              <w:rPr>
                <w:sz w:val="20"/>
                <w:szCs w:val="20"/>
              </w:rPr>
            </w:pPr>
            <w:r>
              <w:rPr>
                <w:sz w:val="20"/>
                <w:szCs w:val="20"/>
              </w:rPr>
              <w:t>0,0</w:t>
            </w:r>
          </w:p>
        </w:tc>
        <w:tc>
          <w:tcPr>
            <w:tcW w:w="992" w:type="dxa"/>
            <w:vAlign w:val="center"/>
          </w:tcPr>
          <w:p w:rsidR="007D1917" w:rsidRPr="00085C37" w:rsidRDefault="007D1917" w:rsidP="00085C37">
            <w:pPr>
              <w:jc w:val="center"/>
              <w:rPr>
                <w:sz w:val="20"/>
                <w:szCs w:val="20"/>
              </w:rPr>
            </w:pPr>
            <w:r w:rsidRPr="00085C37">
              <w:rPr>
                <w:sz w:val="20"/>
                <w:szCs w:val="20"/>
              </w:rPr>
              <w:t>-2042,2</w:t>
            </w:r>
          </w:p>
        </w:tc>
        <w:tc>
          <w:tcPr>
            <w:tcW w:w="992" w:type="dxa"/>
            <w:vAlign w:val="center"/>
          </w:tcPr>
          <w:p w:rsidR="007D1917" w:rsidRPr="00085C37" w:rsidRDefault="007D1917" w:rsidP="00085C37">
            <w:pPr>
              <w:jc w:val="center"/>
              <w:rPr>
                <w:sz w:val="20"/>
                <w:szCs w:val="20"/>
              </w:rPr>
            </w:pPr>
            <w:r>
              <w:rPr>
                <w:sz w:val="20"/>
                <w:szCs w:val="20"/>
              </w:rPr>
              <w:t>-</w:t>
            </w:r>
          </w:p>
        </w:tc>
        <w:tc>
          <w:tcPr>
            <w:tcW w:w="992" w:type="dxa"/>
            <w:vAlign w:val="center"/>
          </w:tcPr>
          <w:p w:rsidR="007D1917" w:rsidRPr="003831EF" w:rsidRDefault="007D1917" w:rsidP="003831EF">
            <w:pPr>
              <w:snapToGrid w:val="0"/>
              <w:jc w:val="center"/>
              <w:rPr>
                <w:bCs/>
                <w:sz w:val="20"/>
                <w:szCs w:val="20"/>
              </w:rPr>
            </w:pPr>
            <w:r>
              <w:rPr>
                <w:bCs/>
                <w:sz w:val="20"/>
                <w:szCs w:val="20"/>
              </w:rPr>
              <w:t>0,0</w:t>
            </w:r>
          </w:p>
        </w:tc>
        <w:tc>
          <w:tcPr>
            <w:tcW w:w="992" w:type="dxa"/>
            <w:vAlign w:val="center"/>
          </w:tcPr>
          <w:p w:rsidR="007D1917" w:rsidRPr="003831EF" w:rsidRDefault="007D1917" w:rsidP="003831EF">
            <w:pPr>
              <w:jc w:val="center"/>
              <w:rPr>
                <w:sz w:val="20"/>
                <w:szCs w:val="20"/>
              </w:rPr>
            </w:pPr>
            <w:r>
              <w:rPr>
                <w:sz w:val="20"/>
                <w:szCs w:val="20"/>
              </w:rPr>
              <w:t>0,0</w:t>
            </w:r>
          </w:p>
        </w:tc>
      </w:tr>
    </w:tbl>
    <w:p w:rsidR="0026490A" w:rsidRDefault="0026490A" w:rsidP="0044286D">
      <w:pPr>
        <w:widowControl w:val="0"/>
        <w:numPr>
          <w:ilvl w:val="12"/>
          <w:numId w:val="0"/>
        </w:numPr>
        <w:ind w:firstLine="720"/>
        <w:jc w:val="both"/>
      </w:pPr>
    </w:p>
    <w:p w:rsidR="001F1DA0" w:rsidRPr="00466605" w:rsidRDefault="0044286D" w:rsidP="00C1737C">
      <w:pPr>
        <w:widowControl w:val="0"/>
        <w:numPr>
          <w:ilvl w:val="12"/>
          <w:numId w:val="0"/>
        </w:numPr>
        <w:ind w:firstLine="720"/>
        <w:jc w:val="both"/>
      </w:pPr>
      <w:r>
        <w:t>Прогнозируется, что о</w:t>
      </w:r>
      <w:r w:rsidRPr="00466605">
        <w:t>сновную долю доходов в налоговых и неналоговых доходах местного бюджета будут составлять</w:t>
      </w:r>
      <w:r w:rsidR="001F1DA0" w:rsidRPr="00466605">
        <w:t xml:space="preserve"> доходы от </w:t>
      </w:r>
      <w:r w:rsidR="001F1DA0">
        <w:t>уплаты акцизов</w:t>
      </w:r>
      <w:r w:rsidR="001F1DA0" w:rsidRPr="00466605">
        <w:t xml:space="preserve"> </w:t>
      </w:r>
      <w:r w:rsidR="001F1DA0">
        <w:t xml:space="preserve">на дизельное топливо, моторные масла, автомобильный бензин и прямогонный бензин </w:t>
      </w:r>
      <w:r w:rsidR="001F1DA0" w:rsidRPr="00466605">
        <w:t>в 202</w:t>
      </w:r>
      <w:r w:rsidR="00C1737C">
        <w:t>2</w:t>
      </w:r>
      <w:r w:rsidR="001F1DA0" w:rsidRPr="00466605">
        <w:t xml:space="preserve"> году – </w:t>
      </w:r>
      <w:r w:rsidR="00B96D5C">
        <w:t>69,1</w:t>
      </w:r>
      <w:r w:rsidR="001F1DA0" w:rsidRPr="00466605">
        <w:t>%</w:t>
      </w:r>
      <w:r w:rsidR="001F1DA0">
        <w:t xml:space="preserve"> (или </w:t>
      </w:r>
      <w:r w:rsidR="00B96D5C">
        <w:t>311,3</w:t>
      </w:r>
      <w:r w:rsidR="001F1DA0">
        <w:t xml:space="preserve"> тыс. руб.)</w:t>
      </w:r>
      <w:r w:rsidR="001F1DA0" w:rsidRPr="00466605">
        <w:t>, в 202</w:t>
      </w:r>
      <w:r w:rsidR="00C1737C">
        <w:t>3</w:t>
      </w:r>
      <w:r w:rsidR="001F1DA0">
        <w:t>г.</w:t>
      </w:r>
      <w:r w:rsidR="001F1DA0" w:rsidRPr="00466605">
        <w:t xml:space="preserve"> </w:t>
      </w:r>
      <w:r w:rsidR="001F1DA0">
        <w:t xml:space="preserve">– </w:t>
      </w:r>
      <w:r w:rsidR="00B96D5C">
        <w:t>69,4</w:t>
      </w:r>
      <w:r w:rsidR="001F1DA0">
        <w:t>% (</w:t>
      </w:r>
      <w:r w:rsidR="005813D2">
        <w:t xml:space="preserve">или </w:t>
      </w:r>
      <w:r w:rsidR="00B96D5C">
        <w:t>327,2</w:t>
      </w:r>
      <w:r w:rsidR="001F1DA0">
        <w:t xml:space="preserve"> тыс. руб.), в 202</w:t>
      </w:r>
      <w:r w:rsidR="00C1737C">
        <w:t>4</w:t>
      </w:r>
      <w:r w:rsidR="001F1DA0">
        <w:t xml:space="preserve">г. – </w:t>
      </w:r>
      <w:r w:rsidR="00B96D5C">
        <w:t>70,3</w:t>
      </w:r>
      <w:r w:rsidR="001F1DA0">
        <w:t>% (</w:t>
      </w:r>
      <w:r w:rsidR="005813D2">
        <w:t xml:space="preserve">или </w:t>
      </w:r>
      <w:r w:rsidR="00B96D5C">
        <w:t>353,4</w:t>
      </w:r>
      <w:r w:rsidR="001F1DA0">
        <w:t xml:space="preserve"> тыс. руб.)</w:t>
      </w:r>
      <w:r w:rsidR="00C1737C">
        <w:t>.</w:t>
      </w:r>
    </w:p>
    <w:p w:rsidR="006E1881" w:rsidRDefault="00922907"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t>2</w:t>
      </w:r>
      <w:r w:rsidRPr="00B03A0F">
        <w:t xml:space="preserve"> год определен в сумме </w:t>
      </w:r>
      <w:r w:rsidR="00B96D5C">
        <w:t>116</w:t>
      </w:r>
      <w:r w:rsidRPr="00B03A0F">
        <w:t xml:space="preserve"> тыс. рублей, на уровн</w:t>
      </w:r>
      <w:r w:rsidR="00B96D5C">
        <w:t>е</w:t>
      </w:r>
      <w:r w:rsidRPr="00B03A0F">
        <w:t xml:space="preserve"> ожидаемого исполнения 202</w:t>
      </w:r>
      <w:r>
        <w:t>1</w:t>
      </w:r>
      <w:r w:rsidRPr="00B03A0F">
        <w:t xml:space="preserve"> года. В 202</w:t>
      </w:r>
      <w:r>
        <w:t>3</w:t>
      </w:r>
      <w:r w:rsidRPr="00B03A0F">
        <w:t xml:space="preserve"> году поступления по данному налогу прогнозируются в объеме </w:t>
      </w:r>
      <w:r w:rsidR="00B96D5C">
        <w:t>121</w:t>
      </w:r>
      <w:r w:rsidRPr="00B03A0F">
        <w:t xml:space="preserve"> тыс. рублей, в 202</w:t>
      </w:r>
      <w:r>
        <w:t>4</w:t>
      </w:r>
      <w:r w:rsidRPr="00B03A0F">
        <w:t xml:space="preserve"> году – </w:t>
      </w:r>
      <w:r w:rsidR="00B96D5C">
        <w:t>126</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на 20</w:t>
      </w:r>
      <w:r w:rsidR="00790567">
        <w:t>2</w:t>
      </w:r>
      <w:r w:rsidR="00626B74">
        <w:t>2</w:t>
      </w:r>
      <w:r w:rsidR="00430227">
        <w:t xml:space="preserve"> год </w:t>
      </w:r>
      <w:r w:rsidR="00673E00">
        <w:t xml:space="preserve">и плановый период 2023 и 2024 годов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583388">
        <w:t>2</w:t>
      </w:r>
      <w:r w:rsidRPr="0053720D">
        <w:t xml:space="preserve"> год и на плановый период 202</w:t>
      </w:r>
      <w:r w:rsidR="00583388">
        <w:t>3</w:t>
      </w:r>
      <w:r w:rsidRPr="0053720D">
        <w:t xml:space="preserve"> и 202</w:t>
      </w:r>
      <w:r w:rsidR="00583388">
        <w:t>4</w:t>
      </w:r>
      <w:r w:rsidRPr="0053720D">
        <w:t xml:space="preserve">гг.» (приложение 2) дифференцированный нормативов отчислений в бюджет </w:t>
      </w:r>
      <w:r w:rsidR="001D1F44">
        <w:t>Усть-Илгинского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B96D5C">
        <w:t>4</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583388">
        <w:t>2</w:t>
      </w:r>
      <w:r w:rsidR="00106633" w:rsidRPr="009B1744">
        <w:t xml:space="preserve"> год в сумме </w:t>
      </w:r>
      <w:r w:rsidR="00B96D5C">
        <w:t>311,3</w:t>
      </w:r>
      <w:r w:rsidR="00314F7B">
        <w:t xml:space="preserve"> </w:t>
      </w:r>
      <w:r w:rsidR="00106633" w:rsidRPr="009B1744">
        <w:t xml:space="preserve">тыс.руб., </w:t>
      </w:r>
      <w:r w:rsidR="007E21DC">
        <w:t>с</w:t>
      </w:r>
      <w:r w:rsidR="00B96D5C">
        <w:t>о</w:t>
      </w:r>
      <w:r w:rsidR="00106633" w:rsidRPr="009B1744">
        <w:t xml:space="preserve"> </w:t>
      </w:r>
      <w:r w:rsidR="00B96D5C">
        <w:t>снижением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583388">
        <w:t>1</w:t>
      </w:r>
      <w:r w:rsidR="00106633" w:rsidRPr="009B1744">
        <w:t xml:space="preserve"> года на </w:t>
      </w:r>
      <w:r w:rsidR="00B96D5C">
        <w:t>133,6</w:t>
      </w:r>
      <w:r w:rsidR="003134B5">
        <w:t xml:space="preserve"> тыс.</w:t>
      </w:r>
      <w:r w:rsidR="00FD3805">
        <w:t xml:space="preserve"> </w:t>
      </w:r>
      <w:r w:rsidR="003134B5">
        <w:t>руб</w:t>
      </w:r>
      <w:r w:rsidR="003F736E">
        <w:t>лей</w:t>
      </w:r>
      <w:r w:rsidR="003134B5">
        <w:t xml:space="preserve"> (</w:t>
      </w:r>
      <w:r w:rsidR="00B96D5C">
        <w:t>-30</w:t>
      </w:r>
      <w:r w:rsidR="003134B5">
        <w:t>%)</w:t>
      </w:r>
      <w:r w:rsidR="0085426E">
        <w:t>, на 202</w:t>
      </w:r>
      <w:r w:rsidR="00583388">
        <w:t>3</w:t>
      </w:r>
      <w:r w:rsidR="0085426E">
        <w:t xml:space="preserve"> год в сумме </w:t>
      </w:r>
      <w:r w:rsidR="00B96D5C">
        <w:t>327,2</w:t>
      </w:r>
      <w:r w:rsidR="0085426E">
        <w:t xml:space="preserve"> тыс. руб., на 202</w:t>
      </w:r>
      <w:r w:rsidR="00583388">
        <w:t xml:space="preserve">4 </w:t>
      </w:r>
      <w:r w:rsidR="0085426E">
        <w:t>г</w:t>
      </w:r>
      <w:r w:rsidR="00583388">
        <w:t>од</w:t>
      </w:r>
      <w:r w:rsidR="0085426E">
        <w:t xml:space="preserve">  в сумме </w:t>
      </w:r>
      <w:r w:rsidR="00B96D5C">
        <w:t>353,4</w:t>
      </w:r>
      <w:r w:rsidR="0085426E">
        <w:t xml:space="preserve"> тыс. руб</w:t>
      </w:r>
      <w:r w:rsidR="003134B5">
        <w:t>.</w:t>
      </w:r>
    </w:p>
    <w:p w:rsidR="00B96D5C" w:rsidRPr="009B1744" w:rsidRDefault="00B96D5C" w:rsidP="00B96D5C">
      <w:pPr>
        <w:widowControl w:val="0"/>
        <w:numPr>
          <w:ilvl w:val="12"/>
          <w:numId w:val="0"/>
        </w:numPr>
        <w:ind w:firstLine="720"/>
        <w:jc w:val="both"/>
      </w:pPr>
      <w:r w:rsidRPr="003B182B">
        <w:rPr>
          <w:b/>
        </w:rPr>
        <w:t>Налоги на совокупный доход</w:t>
      </w:r>
      <w:r w:rsidRPr="00607C12">
        <w:rPr>
          <w:i/>
        </w:rPr>
        <w:t xml:space="preserve"> </w:t>
      </w:r>
      <w:r>
        <w:t xml:space="preserve">прогнозируются в местном бюджете в виде единого сельскохозяйственного налога (ЕСН), </w:t>
      </w:r>
      <w:r w:rsidRPr="00DB174C">
        <w:t>предусмотрены проектом бюджета на 20</w:t>
      </w:r>
      <w:r>
        <w:t>22-2024</w:t>
      </w:r>
      <w:r w:rsidRPr="00DB174C">
        <w:t xml:space="preserve"> </w:t>
      </w:r>
      <w:r>
        <w:t>гг.</w:t>
      </w:r>
      <w:r w:rsidRPr="00DB174C">
        <w:t xml:space="preserve"> в сумме </w:t>
      </w:r>
      <w:r>
        <w:t>2</w:t>
      </w:r>
      <w:r w:rsidRPr="00DB174C">
        <w:t xml:space="preserve"> тыс.</w:t>
      </w:r>
      <w:r>
        <w:t xml:space="preserve"> </w:t>
      </w:r>
      <w:r w:rsidRPr="00DB174C">
        <w:t>руб</w:t>
      </w:r>
      <w:r>
        <w:t>лей</w:t>
      </w:r>
      <w:r w:rsidRPr="00DB174C">
        <w:t xml:space="preserve">, </w:t>
      </w:r>
      <w:r>
        <w:t>ежегодно, с ростом на 0,5 тыс.руб. (+33,3%)</w:t>
      </w:r>
      <w:r w:rsidRPr="009B1744">
        <w:t xml:space="preserve"> </w:t>
      </w:r>
      <w:r>
        <w:t xml:space="preserve">к </w:t>
      </w:r>
      <w:r w:rsidRPr="009B1744">
        <w:t>оценк</w:t>
      </w:r>
      <w:r>
        <w:t>е</w:t>
      </w:r>
      <w:r w:rsidRPr="009B1744">
        <w:t xml:space="preserve"> 20</w:t>
      </w:r>
      <w:r>
        <w:t>2</w:t>
      </w:r>
      <w:r w:rsidRPr="009B1744">
        <w:t>1 года</w:t>
      </w:r>
      <w:r>
        <w:t>, соответствуют данным администратора доходов – УФНС России по Иркутской области</w:t>
      </w:r>
      <w:r w:rsidRPr="009B1744">
        <w:t xml:space="preserve">. </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7D72A1">
        <w:t>2</w:t>
      </w:r>
      <w:r w:rsidR="00541773">
        <w:t>-202</w:t>
      </w:r>
      <w:r w:rsidR="007D72A1">
        <w:t>4</w:t>
      </w:r>
      <w:r w:rsidRPr="00DB174C">
        <w:t xml:space="preserve"> год</w:t>
      </w:r>
      <w:r w:rsidR="00541773">
        <w:t>ы</w:t>
      </w:r>
      <w:r w:rsidRPr="00DB174C">
        <w:t xml:space="preserve"> в сумме </w:t>
      </w:r>
      <w:r w:rsidR="00F170C1">
        <w:t>20</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с</w:t>
      </w:r>
      <w:r w:rsidR="005813D2">
        <w:t>о</w:t>
      </w:r>
      <w:r w:rsidRPr="00DB174C">
        <w:t xml:space="preserve"> </w:t>
      </w:r>
      <w:r w:rsidR="005813D2">
        <w:t>снижением</w:t>
      </w:r>
      <w:r w:rsidRPr="00DB174C">
        <w:t xml:space="preserve"> к </w:t>
      </w:r>
      <w:r w:rsidR="00FD3805">
        <w:t>ожидаемым поступлениям</w:t>
      </w:r>
      <w:r w:rsidRPr="00DB174C">
        <w:t xml:space="preserve"> 20</w:t>
      </w:r>
      <w:r w:rsidR="00F173CF">
        <w:t>2</w:t>
      </w:r>
      <w:r w:rsidR="007D72A1">
        <w:t>1</w:t>
      </w:r>
      <w:r w:rsidRPr="00DB174C">
        <w:t xml:space="preserve"> года на </w:t>
      </w:r>
      <w:r w:rsidR="00F170C1">
        <w:t>25</w:t>
      </w:r>
      <w:r w:rsidR="007D72A1">
        <w:t xml:space="preserve"> </w:t>
      </w:r>
      <w:r w:rsidRPr="00DB174C">
        <w:t xml:space="preserve">тыс.руб. </w:t>
      </w:r>
      <w:r w:rsidR="00541773">
        <w:t>(</w:t>
      </w:r>
      <w:r w:rsidR="005813D2">
        <w:t>-</w:t>
      </w:r>
      <w:r w:rsidR="00F170C1">
        <w:t>55,6</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7D72A1">
        <w:t>2</w:t>
      </w:r>
      <w:r w:rsidR="00EC77A8">
        <w:t>-202</w:t>
      </w:r>
      <w:r w:rsidR="007D72A1">
        <w:t>4</w:t>
      </w:r>
      <w:r w:rsidRPr="00DB174C">
        <w:t xml:space="preserve"> год</w:t>
      </w:r>
      <w:r w:rsidR="00EC77A8">
        <w:t>ы</w:t>
      </w:r>
      <w:r w:rsidRPr="00DB174C">
        <w:t xml:space="preserve"> в сумме </w:t>
      </w:r>
      <w:r w:rsidR="00F170C1">
        <w:t>3</w:t>
      </w:r>
      <w:r w:rsidR="00DB174C" w:rsidRPr="00DB174C">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5813D2">
        <w:t>со снижением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7D72A1">
        <w:t>1 года</w:t>
      </w:r>
      <w:r w:rsidR="005813D2">
        <w:t xml:space="preserve"> на 3 тыс. руб. (-</w:t>
      </w:r>
      <w:r w:rsidR="00F170C1">
        <w:t>50</w:t>
      </w:r>
      <w:r w:rsidR="005813D2">
        <w:t>%)</w:t>
      </w:r>
      <w:r w:rsidR="007D72A1">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B7038A" w:rsidRDefault="00593D39" w:rsidP="00B7038A">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7D72A1">
        <w:t>2</w:t>
      </w:r>
      <w:r w:rsidR="00B7038A">
        <w:t>-202</w:t>
      </w:r>
      <w:r w:rsidR="007D72A1">
        <w:t>4</w:t>
      </w:r>
      <w:r w:rsidR="0070250C" w:rsidRPr="00593D39">
        <w:t xml:space="preserve"> </w:t>
      </w:r>
      <w:r w:rsidR="00B7038A">
        <w:t>гг.</w:t>
      </w:r>
      <w:r w:rsidR="0070250C" w:rsidRPr="00593D39">
        <w:t xml:space="preserve"> в сумме </w:t>
      </w:r>
      <w:r w:rsidR="00F170C1">
        <w:t>12</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на уровне </w:t>
      </w:r>
      <w:r w:rsidR="00B7038A" w:rsidRPr="009B1744">
        <w:t>ожидаем</w:t>
      </w:r>
      <w:r w:rsidR="00B7038A">
        <w:t>ых</w:t>
      </w:r>
      <w:r w:rsidR="00B7038A" w:rsidRPr="009B1744">
        <w:t xml:space="preserve"> </w:t>
      </w:r>
      <w:r w:rsidR="00B7038A">
        <w:t>поступлений</w:t>
      </w:r>
      <w:r w:rsidR="00B7038A" w:rsidRPr="009B1744">
        <w:t xml:space="preserve"> 20</w:t>
      </w:r>
      <w:r w:rsidR="00B7038A">
        <w:t>2</w:t>
      </w:r>
      <w:r w:rsidR="007D72A1">
        <w:t>1</w:t>
      </w:r>
      <w:r w:rsidR="00B7038A" w:rsidRPr="009B1744">
        <w:t xml:space="preserve"> года</w:t>
      </w:r>
      <w:r w:rsidR="00B7038A">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7D72A1">
        <w:t>2</w:t>
      </w:r>
      <w:r w:rsidR="002A05AB">
        <w:t>-202</w:t>
      </w:r>
      <w:r w:rsidR="007D72A1">
        <w:t>4</w:t>
      </w:r>
      <w:r w:rsidR="00593D39" w:rsidRPr="00593D39">
        <w:t xml:space="preserve"> год</w:t>
      </w:r>
      <w:r w:rsidR="002A05AB">
        <w:t>ы</w:t>
      </w:r>
      <w:r w:rsidR="00593D39" w:rsidRPr="00593D39">
        <w:t xml:space="preserve"> в сумме </w:t>
      </w:r>
      <w:r w:rsidR="00F170C1">
        <w:t>5</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7D72A1">
        <w:t>с</w:t>
      </w:r>
      <w:r w:rsidR="005813D2">
        <w:t>о</w:t>
      </w:r>
      <w:r w:rsidR="007D72A1">
        <w:t xml:space="preserve"> </w:t>
      </w:r>
      <w:r w:rsidR="005813D2">
        <w:t>снижением</w:t>
      </w:r>
      <w:r w:rsidR="007D72A1">
        <w:t xml:space="preserve"> на </w:t>
      </w:r>
      <w:r w:rsidR="00F170C1">
        <w:t>22</w:t>
      </w:r>
      <w:r w:rsidR="005813D2">
        <w:t xml:space="preserve"> тыс. руб. (-</w:t>
      </w:r>
      <w:r w:rsidR="00F170C1">
        <w:t>81,5</w:t>
      </w:r>
      <w:r w:rsidR="007D72A1">
        <w:t>%) к</w:t>
      </w:r>
      <w:r w:rsidR="002A05AB">
        <w:t xml:space="preserve"> </w:t>
      </w:r>
      <w:r w:rsidR="002A05AB" w:rsidRPr="009B1744">
        <w:t>ожидаем</w:t>
      </w:r>
      <w:r w:rsidR="002A05AB">
        <w:t>ы</w:t>
      </w:r>
      <w:r w:rsidR="007D72A1">
        <w:t>м</w:t>
      </w:r>
      <w:r w:rsidR="002A05AB" w:rsidRPr="009B1744">
        <w:t xml:space="preserve"> </w:t>
      </w:r>
      <w:r w:rsidR="002A05AB">
        <w:t>поступлени</w:t>
      </w:r>
      <w:r w:rsidR="007D72A1">
        <w:t xml:space="preserve">ям </w:t>
      </w:r>
      <w:r w:rsidR="002A05AB" w:rsidRPr="009B1744">
        <w:t>20</w:t>
      </w:r>
      <w:r w:rsidR="002A05AB">
        <w:t>2</w:t>
      </w:r>
      <w:r w:rsidR="007D72A1">
        <w:t>1</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3D59CE">
        <w:t>2</w:t>
      </w:r>
      <w:r w:rsidR="008179F6">
        <w:t>-202</w:t>
      </w:r>
      <w:r w:rsidR="003D59CE">
        <w:t>4</w:t>
      </w:r>
      <w:r w:rsidR="008179F6" w:rsidRPr="00593D39">
        <w:t xml:space="preserve"> год</w:t>
      </w:r>
      <w:r w:rsidR="008179F6">
        <w:t>ы</w:t>
      </w:r>
      <w:r w:rsidR="008179F6" w:rsidRPr="00593D39">
        <w:t xml:space="preserve"> в сумме </w:t>
      </w:r>
      <w:r w:rsidR="00F170C1">
        <w:t>1</w:t>
      </w:r>
      <w:r w:rsidR="008179F6" w:rsidRPr="00593D39">
        <w:t xml:space="preserve"> тыс.</w:t>
      </w:r>
      <w:r w:rsidR="008179F6">
        <w:t xml:space="preserve"> </w:t>
      </w:r>
      <w:r w:rsidR="008179F6" w:rsidRPr="00593D39">
        <w:t>руб</w:t>
      </w:r>
      <w:r w:rsidR="008179F6">
        <w:t>лей</w:t>
      </w:r>
      <w:r w:rsidR="008179F6" w:rsidRPr="00593D39">
        <w:t xml:space="preserve"> </w:t>
      </w:r>
      <w:r w:rsidR="00F170C1">
        <w:t>ежегодно</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E118AF">
        <w:t>2</w:t>
      </w:r>
      <w:r w:rsidR="009E42BA">
        <w:t xml:space="preserve"> году составят </w:t>
      </w:r>
      <w:r w:rsidR="00F170C1">
        <w:t>4616,5</w:t>
      </w:r>
      <w:r w:rsidR="009E42BA">
        <w:t xml:space="preserve"> тыс. рублей, </w:t>
      </w:r>
      <w:r w:rsidR="00E118AF">
        <w:t>со снижением</w:t>
      </w:r>
      <w:r w:rsidR="009E42BA">
        <w:t xml:space="preserve"> на </w:t>
      </w:r>
      <w:r w:rsidR="00F170C1">
        <w:t>861,3</w:t>
      </w:r>
      <w:r w:rsidR="009E42BA">
        <w:t xml:space="preserve"> тыс. рублей </w:t>
      </w:r>
      <w:r w:rsidR="00834B6D">
        <w:t>(-</w:t>
      </w:r>
      <w:r w:rsidR="00F170C1">
        <w:t>15,7</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E118AF">
        <w:t>1</w:t>
      </w:r>
      <w:r w:rsidR="009E42BA">
        <w:t xml:space="preserve"> год</w:t>
      </w:r>
      <w:r w:rsidR="00051F71">
        <w:t>а</w:t>
      </w:r>
      <w:r w:rsidR="009E42BA">
        <w:t>, в 202</w:t>
      </w:r>
      <w:r w:rsidR="00051F71">
        <w:t>3</w:t>
      </w:r>
      <w:r w:rsidR="009E42BA">
        <w:t>-202</w:t>
      </w:r>
      <w:r w:rsidR="00051F71">
        <w:t>4</w:t>
      </w:r>
      <w:r w:rsidR="009E42BA">
        <w:t xml:space="preserve"> годах составят </w:t>
      </w:r>
      <w:r w:rsidR="00F170C1">
        <w:t>4292,8</w:t>
      </w:r>
      <w:r w:rsidR="009E42BA">
        <w:t xml:space="preserve"> тыс. рублей и </w:t>
      </w:r>
      <w:r w:rsidR="00F170C1">
        <w:t>14460,1</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C21A98">
        <w:t>2</w:t>
      </w:r>
      <w:r>
        <w:t>-202</w:t>
      </w:r>
      <w:r w:rsidR="00C21A98">
        <w:t>4</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F601F8">
        <w:t>и</w:t>
      </w:r>
      <w:r>
        <w:t xml:space="preserve"> </w:t>
      </w:r>
      <w:r w:rsidR="007B7BB8">
        <w:t xml:space="preserve">на выравнивание бюджетной обеспеченности поселения </w:t>
      </w:r>
      <w:r>
        <w:t>из районного бюджет</w:t>
      </w:r>
      <w:r w:rsidR="00C21A98">
        <w:t>а</w:t>
      </w:r>
      <w:r>
        <w:t xml:space="preserve"> на 20</w:t>
      </w:r>
      <w:r w:rsidR="00D85A72">
        <w:t>2</w:t>
      </w:r>
      <w:r w:rsidR="00C21A98">
        <w:t>2</w:t>
      </w:r>
      <w:r>
        <w:t xml:space="preserve"> год </w:t>
      </w:r>
      <w:r w:rsidR="00443B89">
        <w:t xml:space="preserve">в сумме </w:t>
      </w:r>
      <w:r w:rsidR="00F170C1">
        <w:t>4272,4</w:t>
      </w:r>
      <w:r>
        <w:t xml:space="preserve"> тыс. рублей, по сравнению с оценкой </w:t>
      </w:r>
      <w:r w:rsidR="00C21A98">
        <w:t xml:space="preserve">исполнения </w:t>
      </w:r>
      <w:r>
        <w:t>20</w:t>
      </w:r>
      <w:r w:rsidR="000871E3">
        <w:t>2</w:t>
      </w:r>
      <w:r w:rsidR="00C21A98">
        <w:t>1</w:t>
      </w:r>
      <w:r>
        <w:t xml:space="preserve"> года, име</w:t>
      </w:r>
      <w:r w:rsidR="00111F72">
        <w:t>е</w:t>
      </w:r>
      <w:r>
        <w:t xml:space="preserve">т тенденцию к </w:t>
      </w:r>
      <w:r w:rsidR="00C21A98">
        <w:t>росту</w:t>
      </w:r>
      <w:r>
        <w:t xml:space="preserve"> на </w:t>
      </w:r>
      <w:r w:rsidR="00F170C1">
        <w:t>1174,8</w:t>
      </w:r>
      <w:r w:rsidR="00C21A98">
        <w:t xml:space="preserve"> тыс. рублей (+</w:t>
      </w:r>
      <w:r w:rsidR="00F601F8">
        <w:t>3</w:t>
      </w:r>
      <w:r w:rsidR="00F170C1">
        <w:t>7</w:t>
      </w:r>
      <w:r w:rsidR="00F601F8">
        <w:t>,</w:t>
      </w:r>
      <w:r w:rsidR="00F170C1">
        <w:t>9</w:t>
      </w:r>
      <w:r>
        <w:t>%</w:t>
      </w:r>
      <w:r w:rsidR="000871E3">
        <w:t>)</w:t>
      </w:r>
      <w:r>
        <w:t>.</w:t>
      </w:r>
      <w:r w:rsidR="008A5493">
        <w:t xml:space="preserve"> В 202</w:t>
      </w:r>
      <w:r w:rsidR="00C21A98">
        <w:t>3</w:t>
      </w:r>
      <w:r w:rsidR="008A5493">
        <w:t>-202</w:t>
      </w:r>
      <w:r w:rsidR="00C21A98">
        <w:t>4</w:t>
      </w:r>
      <w:r w:rsidR="008A5493">
        <w:t xml:space="preserve"> годах объем дотаций составит </w:t>
      </w:r>
      <w:r w:rsidR="00F170C1">
        <w:t>3943,7</w:t>
      </w:r>
      <w:r w:rsidR="008A5493">
        <w:t xml:space="preserve"> тыс. рублей и </w:t>
      </w:r>
      <w:r w:rsidR="00F170C1">
        <w:t>14105,7</w:t>
      </w:r>
      <w:r w:rsidR="008A5493">
        <w:t xml:space="preserve"> тыс. рублей</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8F2747">
        <w:t>и</w:t>
      </w:r>
      <w:r>
        <w:t xml:space="preserve"> на реализацию мероприятий перечня проектов народных инициатив из областного бюджета на 202</w:t>
      </w:r>
      <w:r w:rsidR="001F13CC">
        <w:t>2</w:t>
      </w:r>
      <w:r>
        <w:t>-202</w:t>
      </w:r>
      <w:r w:rsidR="001F13CC">
        <w:t>4</w:t>
      </w:r>
      <w:r>
        <w:t xml:space="preserve"> годы запланирован в объеме </w:t>
      </w:r>
      <w:r w:rsidR="007B7BB8">
        <w:t>200</w:t>
      </w:r>
      <w:r>
        <w:t xml:space="preserve"> тыс. рублей ежегодно</w:t>
      </w:r>
      <w:r w:rsidR="00CF47C9">
        <w:t xml:space="preserve"> (п.2 ст.1</w:t>
      </w:r>
      <w:r w:rsidR="001F13CC">
        <w:t>2</w:t>
      </w:r>
      <w:r w:rsidR="00CF47C9" w:rsidRPr="0053720D">
        <w:t xml:space="preserve"> проекта Закона Иркутской области «Об областном бюджете на 20</w:t>
      </w:r>
      <w:r w:rsidR="00CF47C9">
        <w:t>2</w:t>
      </w:r>
      <w:r w:rsidR="001F13CC">
        <w:t>2</w:t>
      </w:r>
      <w:r w:rsidR="00CF47C9" w:rsidRPr="0053720D">
        <w:t xml:space="preserve"> год и на плановый период 202</w:t>
      </w:r>
      <w:r w:rsidR="001F13CC">
        <w:t>3</w:t>
      </w:r>
      <w:r w:rsidR="00CF47C9" w:rsidRPr="0053720D">
        <w:t xml:space="preserve"> и 202</w:t>
      </w:r>
      <w:r w:rsidR="001F13CC">
        <w:t>4</w:t>
      </w:r>
      <w:r w:rsidR="00CF47C9" w:rsidRPr="0053720D">
        <w:t>гг.»</w:t>
      </w:r>
      <w:r w:rsidR="00CF47C9">
        <w:t>)</w:t>
      </w:r>
      <w:r w:rsidR="00F170C1">
        <w:t xml:space="preserve">, соответствует </w:t>
      </w:r>
      <w:r>
        <w:t>уровн</w:t>
      </w:r>
      <w:r w:rsidR="008F2747">
        <w:t>ю</w:t>
      </w:r>
      <w:r>
        <w:t xml:space="preserve"> </w:t>
      </w:r>
      <w:r w:rsidR="00F170C1">
        <w:t xml:space="preserve">оценки </w:t>
      </w:r>
      <w:r w:rsidR="007B7BB8">
        <w:t xml:space="preserve">исполнения </w:t>
      </w:r>
      <w:r>
        <w:t>20</w:t>
      </w:r>
      <w:r w:rsidR="007B7BB8">
        <w:t>2</w:t>
      </w:r>
      <w:r w:rsidR="001F13CC">
        <w:t>1</w:t>
      </w:r>
      <w:r>
        <w:t xml:space="preserve"> года</w:t>
      </w:r>
      <w:r w:rsidR="008F2747">
        <w:t xml:space="preserve">. </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864380">
        <w:t>144,1</w:t>
      </w:r>
      <w:r w:rsidR="00220DD4">
        <w:t xml:space="preserve"> </w:t>
      </w:r>
      <w:r>
        <w:t>тыс. рублей</w:t>
      </w:r>
      <w:r w:rsidR="00220DD4">
        <w:t xml:space="preserve"> </w:t>
      </w:r>
      <w:r w:rsidR="002813E3">
        <w:t>(202</w:t>
      </w:r>
      <w:r w:rsidR="00864380">
        <w:t>2</w:t>
      </w:r>
      <w:r w:rsidR="002813E3">
        <w:t>г.),</w:t>
      </w:r>
      <w:r w:rsidR="000C46C8">
        <w:t xml:space="preserve"> с ростом к оценке исполнения 2021 года на 6,1 тыс. руб. (+4,4%), в объеме</w:t>
      </w:r>
      <w:r w:rsidR="002813E3">
        <w:t xml:space="preserve"> </w:t>
      </w:r>
      <w:r w:rsidR="00864380">
        <w:t>149,1</w:t>
      </w:r>
      <w:r w:rsidR="002813E3">
        <w:t xml:space="preserve"> тыс. рублей (202</w:t>
      </w:r>
      <w:r w:rsidR="00864380">
        <w:t>3</w:t>
      </w:r>
      <w:r w:rsidR="002813E3">
        <w:t xml:space="preserve">г.), </w:t>
      </w:r>
      <w:r w:rsidR="000C46C8">
        <w:t xml:space="preserve">в объеме </w:t>
      </w:r>
      <w:r w:rsidR="00864380">
        <w:t>154,4</w:t>
      </w:r>
      <w:r w:rsidR="002813E3">
        <w:t xml:space="preserve"> тыс. рублей (202</w:t>
      </w:r>
      <w:r w:rsidR="00864380">
        <w:t>4</w:t>
      </w:r>
      <w:r w:rsidR="002813E3">
        <w:t xml:space="preserve">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864380">
        <w:t>143,4</w:t>
      </w:r>
      <w:r w:rsidR="00220DD4">
        <w:t xml:space="preserve"> тыс. рублей </w:t>
      </w:r>
      <w:r w:rsidR="002813E3">
        <w:t>(202</w:t>
      </w:r>
      <w:r w:rsidR="00864380">
        <w:t>2</w:t>
      </w:r>
      <w:r w:rsidR="002813E3">
        <w:t xml:space="preserve">г.), </w:t>
      </w:r>
      <w:r w:rsidR="00864380">
        <w:t>148,4</w:t>
      </w:r>
      <w:r w:rsidR="002813E3">
        <w:t xml:space="preserve"> тыс. руб. (202</w:t>
      </w:r>
      <w:r w:rsidR="00864380">
        <w:t>3</w:t>
      </w:r>
      <w:r w:rsidR="002813E3">
        <w:t xml:space="preserve">г.), </w:t>
      </w:r>
      <w:r w:rsidR="00864380">
        <w:t>153,7</w:t>
      </w:r>
      <w:r w:rsidR="002813E3">
        <w:t xml:space="preserve"> тыс. руб. (202</w:t>
      </w:r>
      <w:r w:rsidR="00864380">
        <w:t>4</w:t>
      </w:r>
      <w:r w:rsidR="002813E3">
        <w:t xml:space="preserve">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w:t>
      </w:r>
      <w:r w:rsidR="009A7BFB">
        <w:t>2</w:t>
      </w:r>
      <w:r w:rsidR="00730FD0">
        <w:t>-202</w:t>
      </w:r>
      <w:r w:rsidR="009A7BFB">
        <w:t>4</w:t>
      </w:r>
      <w:r w:rsidR="00730FD0">
        <w:t>гг.)</w:t>
      </w:r>
      <w:r w:rsidR="006C3B52">
        <w:t>,</w:t>
      </w:r>
      <w:r w:rsidR="00CF47C9">
        <w:t xml:space="preserve"> </w:t>
      </w:r>
      <w:r w:rsidR="006C3B52">
        <w:t xml:space="preserve">на основании </w:t>
      </w:r>
      <w:r w:rsidR="00CF47C9">
        <w:t>п.1 ст.1</w:t>
      </w:r>
      <w:r w:rsidR="00E64283">
        <w:t>3</w:t>
      </w:r>
      <w:r w:rsidR="00CF47C9" w:rsidRPr="0053720D">
        <w:t xml:space="preserve"> проекта Закона Иркутской области «Об областном бюджете на 20</w:t>
      </w:r>
      <w:r w:rsidR="00CF47C9">
        <w:t>2</w:t>
      </w:r>
      <w:r w:rsidR="00E64283">
        <w:t>2</w:t>
      </w:r>
      <w:r w:rsidR="00CF47C9" w:rsidRPr="0053720D">
        <w:t xml:space="preserve"> год и на плановый период 202</w:t>
      </w:r>
      <w:r w:rsidR="00E64283">
        <w:t>3</w:t>
      </w:r>
      <w:r w:rsidR="00CF47C9" w:rsidRPr="0053720D">
        <w:t xml:space="preserve"> и 202</w:t>
      </w:r>
      <w:r w:rsidR="00E64283">
        <w:t>4</w:t>
      </w:r>
      <w:r w:rsidR="00CF47C9" w:rsidRPr="0053720D">
        <w:t>гг.»</w:t>
      </w:r>
      <w:r w:rsidR="00220DD4">
        <w:t>)</w:t>
      </w:r>
      <w:r>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1D1F44">
        <w:t>Усть-Илгинского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A7732A">
        <w:t>2</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8F2747">
        <w:t>9</w:t>
      </w:r>
      <w:r w:rsidR="00F170C1">
        <w:t>2</w:t>
      </w:r>
      <w:r w:rsidR="008F2747">
        <w:t>,</w:t>
      </w:r>
      <w:r w:rsidR="00F170C1">
        <w:t>5</w:t>
      </w:r>
      <w:r w:rsidR="00657F6C" w:rsidRPr="00715968">
        <w:t>%,</w:t>
      </w:r>
      <w:r w:rsidR="00386290" w:rsidRPr="00386290">
        <w:t xml:space="preserve"> </w:t>
      </w:r>
      <w:r w:rsidR="00CE211B">
        <w:t xml:space="preserve">субсидии – </w:t>
      </w:r>
      <w:r w:rsidR="00F170C1">
        <w:t>4,3</w:t>
      </w:r>
      <w:r w:rsidR="00CE211B">
        <w:t xml:space="preserve">%, </w:t>
      </w:r>
      <w:r w:rsidR="00386290" w:rsidRPr="00715968">
        <w:t>субвенции</w:t>
      </w:r>
      <w:r w:rsidR="00386290">
        <w:t xml:space="preserve"> – </w:t>
      </w:r>
      <w:r w:rsidR="00F170C1">
        <w:t>3,2</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1D1F44">
        <w:t>Усть-Илгинского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1D1F44">
        <w:t>Усть-Илгинского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ED0CFF">
        <w:t>2</w:t>
      </w:r>
      <w:r w:rsidR="006C047A">
        <w:t xml:space="preserve"> год и на плановый период 202</w:t>
      </w:r>
      <w:r w:rsidR="00ED0CFF">
        <w:t>3</w:t>
      </w:r>
      <w:r w:rsidR="006C047A">
        <w:t xml:space="preserve"> и 202</w:t>
      </w:r>
      <w:r w:rsidR="00ED0CFF">
        <w:t>4</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w:t>
      </w:r>
      <w:r w:rsidR="00ED0CFF">
        <w:t>2</w:t>
      </w:r>
      <w:r w:rsidR="007965C5">
        <w:t xml:space="preserve"> год и плановый период 202</w:t>
      </w:r>
      <w:r w:rsidR="00ED0CFF">
        <w:t>3</w:t>
      </w:r>
      <w:r w:rsidR="007965C5">
        <w:t xml:space="preserve"> и 202</w:t>
      </w:r>
      <w:r w:rsidR="00ED0CFF">
        <w:t>4</w:t>
      </w:r>
      <w:r w:rsidR="007965C5">
        <w:t xml:space="preserve">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9A7BFB">
        <w:t xml:space="preserve"> (на период 9-10 месяцев)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1D1F44">
        <w:t>Усть-Илгинского</w:t>
      </w:r>
      <w:r>
        <w:t xml:space="preserve"> муниципального образования КСК района сравнивались показатели оценки исполнения местного бюджета за 2021 год с показателями расходов проекта бюджета, предлагаемыми к утверждению на 2022 год.</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615EF1">
        <w:rPr>
          <w:b w:val="0"/>
          <w:bCs w:val="0"/>
          <w:i w:val="0"/>
          <w:color w:val="000000"/>
          <w:spacing w:val="3"/>
          <w:sz w:val="24"/>
        </w:rPr>
        <w:t>2</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EC4A96">
        <w:rPr>
          <w:b w:val="0"/>
          <w:bCs w:val="0"/>
          <w:i w:val="0"/>
          <w:color w:val="000000"/>
          <w:spacing w:val="3"/>
          <w:sz w:val="24"/>
        </w:rPr>
        <w:t>5083,5</w:t>
      </w:r>
      <w:r>
        <w:rPr>
          <w:b w:val="0"/>
          <w:bCs w:val="0"/>
          <w:i w:val="0"/>
          <w:color w:val="000000"/>
          <w:spacing w:val="3"/>
          <w:sz w:val="24"/>
        </w:rPr>
        <w:t xml:space="preserve"> тыс. руб., что ниже уровня </w:t>
      </w:r>
      <w:r w:rsidR="009E4238">
        <w:rPr>
          <w:b w:val="0"/>
          <w:bCs w:val="0"/>
          <w:i w:val="0"/>
          <w:color w:val="000000"/>
          <w:spacing w:val="3"/>
          <w:sz w:val="24"/>
        </w:rPr>
        <w:t xml:space="preserve">оценки исполнения </w:t>
      </w:r>
      <w:r>
        <w:rPr>
          <w:b w:val="0"/>
          <w:bCs w:val="0"/>
          <w:i w:val="0"/>
          <w:color w:val="000000"/>
          <w:spacing w:val="3"/>
          <w:sz w:val="24"/>
        </w:rPr>
        <w:t>20</w:t>
      </w:r>
      <w:r w:rsidR="00C66D11">
        <w:rPr>
          <w:b w:val="0"/>
          <w:bCs w:val="0"/>
          <w:i w:val="0"/>
          <w:color w:val="000000"/>
          <w:spacing w:val="3"/>
          <w:sz w:val="24"/>
        </w:rPr>
        <w:t>2</w:t>
      </w:r>
      <w:r w:rsidR="009E4238">
        <w:rPr>
          <w:b w:val="0"/>
          <w:bCs w:val="0"/>
          <w:i w:val="0"/>
          <w:color w:val="000000"/>
          <w:spacing w:val="3"/>
          <w:sz w:val="24"/>
        </w:rPr>
        <w:t>1</w:t>
      </w:r>
      <w:r>
        <w:rPr>
          <w:b w:val="0"/>
          <w:bCs w:val="0"/>
          <w:i w:val="0"/>
          <w:color w:val="000000"/>
          <w:spacing w:val="3"/>
          <w:sz w:val="24"/>
        </w:rPr>
        <w:t xml:space="preserve"> года на сумму </w:t>
      </w:r>
      <w:r w:rsidR="00EC4A96">
        <w:rPr>
          <w:b w:val="0"/>
          <w:bCs w:val="0"/>
          <w:i w:val="0"/>
          <w:color w:val="000000"/>
          <w:spacing w:val="3"/>
          <w:sz w:val="24"/>
        </w:rPr>
        <w:t>2830,9</w:t>
      </w:r>
      <w:r>
        <w:rPr>
          <w:b w:val="0"/>
          <w:bCs w:val="0"/>
          <w:i w:val="0"/>
          <w:color w:val="000000"/>
          <w:spacing w:val="3"/>
          <w:sz w:val="24"/>
        </w:rPr>
        <w:t xml:space="preserve"> тыс. руб. (-</w:t>
      </w:r>
      <w:r w:rsidR="00EC4A96">
        <w:rPr>
          <w:b w:val="0"/>
          <w:bCs w:val="0"/>
          <w:i w:val="0"/>
          <w:color w:val="000000"/>
          <w:spacing w:val="3"/>
          <w:sz w:val="24"/>
        </w:rPr>
        <w:t>35,8</w:t>
      </w:r>
      <w:r>
        <w:rPr>
          <w:b w:val="0"/>
          <w:bCs w:val="0"/>
          <w:i w:val="0"/>
          <w:color w:val="000000"/>
          <w:spacing w:val="3"/>
          <w:sz w:val="24"/>
        </w:rPr>
        <w:t>%)</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2022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22</w:t>
      </w:r>
      <w:r>
        <w:t>г.</w:t>
      </w:r>
      <w:r w:rsidR="00D8062F">
        <w:t>,</w:t>
      </w:r>
      <w:r>
        <w:t xml:space="preserve"> с учетом оценки ожидаемого исполнения местного бюджета по расходам в 20</w:t>
      </w:r>
      <w:r w:rsidR="00C66D11">
        <w:t>2</w:t>
      </w:r>
      <w:r w:rsidR="00615EF1">
        <w:t>1</w:t>
      </w:r>
      <w:r>
        <w:t xml:space="preserve"> году</w:t>
      </w:r>
      <w:r w:rsidR="00D8062F">
        <w:t>,</w:t>
      </w:r>
      <w:r>
        <w:t xml:space="preserve"> приведено в нижеследующей таблице</w:t>
      </w:r>
      <w:r w:rsidR="004E39A3">
        <w:t xml:space="preserve"> </w:t>
      </w:r>
      <w:r w:rsidR="004659D7">
        <w:t>2</w:t>
      </w:r>
      <w:r>
        <w:t xml:space="preserve"> (в тыс. руб.):</w:t>
      </w:r>
    </w:p>
    <w:p w:rsidR="004E39A3" w:rsidRDefault="004E39A3" w:rsidP="004E39A3">
      <w:pPr>
        <w:widowControl w:val="0"/>
        <w:numPr>
          <w:ilvl w:val="12"/>
          <w:numId w:val="0"/>
        </w:numPr>
        <w:ind w:firstLine="567"/>
        <w:jc w:val="right"/>
      </w:pPr>
    </w:p>
    <w:p w:rsidR="006071EA" w:rsidRDefault="004E39A3" w:rsidP="004E39A3">
      <w:pPr>
        <w:widowControl w:val="0"/>
        <w:numPr>
          <w:ilvl w:val="12"/>
          <w:numId w:val="0"/>
        </w:numPr>
        <w:ind w:firstLine="567"/>
        <w:jc w:val="right"/>
        <w:rPr>
          <w:i/>
        </w:rPr>
      </w:pPr>
      <w:r w:rsidRPr="002A7EBC">
        <w:rPr>
          <w:i/>
        </w:rPr>
        <w:t xml:space="preserve">Таблица </w:t>
      </w:r>
      <w:r w:rsidR="004659D7">
        <w:rPr>
          <w: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w:t>
            </w:r>
            <w:r>
              <w:rPr>
                <w:b/>
                <w:sz w:val="16"/>
                <w:szCs w:val="16"/>
              </w:rPr>
              <w:t>21</w:t>
            </w:r>
            <w:r w:rsidRPr="00601AE1">
              <w:rPr>
                <w:b/>
                <w:sz w:val="16"/>
                <w:szCs w:val="16"/>
              </w:rPr>
              <w:t>г.</w:t>
            </w: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202</w:t>
            </w:r>
            <w:r>
              <w:rPr>
                <w:b/>
                <w:sz w:val="16"/>
                <w:szCs w:val="16"/>
              </w:rPr>
              <w:t>2</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C45257" w:rsidRPr="002A072A" w:rsidTr="00C45257">
        <w:tc>
          <w:tcPr>
            <w:tcW w:w="4219" w:type="dxa"/>
          </w:tcPr>
          <w:p w:rsidR="00C45257" w:rsidRPr="00883B52" w:rsidRDefault="00C45257"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C45257" w:rsidRPr="00601AE1" w:rsidRDefault="00C45257" w:rsidP="006D30B0">
            <w:pPr>
              <w:widowControl w:val="0"/>
              <w:numPr>
                <w:ilvl w:val="12"/>
                <w:numId w:val="0"/>
              </w:numPr>
              <w:jc w:val="center"/>
              <w:rPr>
                <w:b/>
                <w:sz w:val="16"/>
                <w:szCs w:val="16"/>
              </w:rPr>
            </w:pPr>
            <w:r>
              <w:rPr>
                <w:b/>
                <w:sz w:val="16"/>
                <w:szCs w:val="16"/>
              </w:rPr>
              <w:t>7914,4</w:t>
            </w:r>
          </w:p>
        </w:tc>
        <w:tc>
          <w:tcPr>
            <w:tcW w:w="1134" w:type="dxa"/>
            <w:vAlign w:val="center"/>
          </w:tcPr>
          <w:p w:rsidR="00C45257" w:rsidRPr="00601AE1" w:rsidRDefault="00C45257" w:rsidP="006D30B0">
            <w:pPr>
              <w:widowControl w:val="0"/>
              <w:numPr>
                <w:ilvl w:val="12"/>
                <w:numId w:val="0"/>
              </w:numPr>
              <w:jc w:val="center"/>
              <w:rPr>
                <w:b/>
                <w:sz w:val="16"/>
                <w:szCs w:val="16"/>
              </w:rPr>
            </w:pPr>
            <w:r>
              <w:rPr>
                <w:b/>
                <w:sz w:val="16"/>
                <w:szCs w:val="16"/>
              </w:rPr>
              <w:t>5083,5</w:t>
            </w:r>
          </w:p>
        </w:tc>
        <w:tc>
          <w:tcPr>
            <w:tcW w:w="1134" w:type="dxa"/>
            <w:vAlign w:val="center"/>
          </w:tcPr>
          <w:p w:rsidR="00C45257" w:rsidRPr="00C45257" w:rsidRDefault="00C45257" w:rsidP="00C45257">
            <w:pPr>
              <w:jc w:val="center"/>
              <w:rPr>
                <w:b/>
                <w:sz w:val="16"/>
                <w:szCs w:val="16"/>
              </w:rPr>
            </w:pPr>
            <w:r w:rsidRPr="00C45257">
              <w:rPr>
                <w:b/>
                <w:sz w:val="16"/>
                <w:szCs w:val="16"/>
              </w:rPr>
              <w:t>-2830,9</w:t>
            </w:r>
          </w:p>
        </w:tc>
        <w:tc>
          <w:tcPr>
            <w:tcW w:w="1134" w:type="dxa"/>
            <w:vAlign w:val="center"/>
          </w:tcPr>
          <w:p w:rsidR="00C45257" w:rsidRPr="00C45257" w:rsidRDefault="00C45257" w:rsidP="00C45257">
            <w:pPr>
              <w:jc w:val="center"/>
              <w:rPr>
                <w:b/>
                <w:sz w:val="16"/>
                <w:szCs w:val="16"/>
              </w:rPr>
            </w:pPr>
            <w:r w:rsidRPr="00C45257">
              <w:rPr>
                <w:b/>
                <w:sz w:val="16"/>
                <w:szCs w:val="16"/>
              </w:rPr>
              <w:t>64,2</w:t>
            </w:r>
          </w:p>
        </w:tc>
        <w:tc>
          <w:tcPr>
            <w:tcW w:w="1098" w:type="dxa"/>
            <w:vAlign w:val="center"/>
          </w:tcPr>
          <w:p w:rsidR="00C45257" w:rsidRPr="00832FBF" w:rsidRDefault="00773BA2" w:rsidP="009D239D">
            <w:pPr>
              <w:widowControl w:val="0"/>
              <w:numPr>
                <w:ilvl w:val="12"/>
                <w:numId w:val="0"/>
              </w:numPr>
              <w:jc w:val="center"/>
              <w:rPr>
                <w:b/>
                <w:sz w:val="16"/>
                <w:szCs w:val="16"/>
              </w:rPr>
            </w:pPr>
            <w:r>
              <w:rPr>
                <w:b/>
                <w:sz w:val="16"/>
                <w:szCs w:val="16"/>
              </w:rPr>
              <w:t>100</w:t>
            </w:r>
          </w:p>
        </w:tc>
      </w:tr>
      <w:tr w:rsidR="00C45257" w:rsidRPr="002A072A" w:rsidTr="00C45257">
        <w:tc>
          <w:tcPr>
            <w:tcW w:w="4219" w:type="dxa"/>
          </w:tcPr>
          <w:p w:rsidR="00C45257" w:rsidRPr="00832FBF" w:rsidRDefault="00C45257"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C45257" w:rsidRPr="00601AE1" w:rsidRDefault="00C45257" w:rsidP="006D30B0">
            <w:pPr>
              <w:widowControl w:val="0"/>
              <w:numPr>
                <w:ilvl w:val="12"/>
                <w:numId w:val="0"/>
              </w:numPr>
              <w:jc w:val="center"/>
              <w:rPr>
                <w:b/>
                <w:sz w:val="16"/>
                <w:szCs w:val="16"/>
              </w:rPr>
            </w:pPr>
            <w:r>
              <w:rPr>
                <w:b/>
                <w:sz w:val="16"/>
                <w:szCs w:val="16"/>
              </w:rPr>
              <w:t>3331,7</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2579,9</w:t>
            </w:r>
          </w:p>
        </w:tc>
        <w:tc>
          <w:tcPr>
            <w:tcW w:w="1134" w:type="dxa"/>
            <w:vAlign w:val="center"/>
          </w:tcPr>
          <w:p w:rsidR="00C45257" w:rsidRPr="00C45257" w:rsidRDefault="00C45257" w:rsidP="00C45257">
            <w:pPr>
              <w:jc w:val="center"/>
              <w:rPr>
                <w:b/>
                <w:sz w:val="16"/>
                <w:szCs w:val="16"/>
              </w:rPr>
            </w:pPr>
            <w:r w:rsidRPr="00C45257">
              <w:rPr>
                <w:b/>
                <w:sz w:val="16"/>
                <w:szCs w:val="16"/>
              </w:rPr>
              <w:t>-751,8</w:t>
            </w:r>
          </w:p>
        </w:tc>
        <w:tc>
          <w:tcPr>
            <w:tcW w:w="1134" w:type="dxa"/>
            <w:vAlign w:val="center"/>
          </w:tcPr>
          <w:p w:rsidR="00C45257" w:rsidRPr="00C45257" w:rsidRDefault="00C45257" w:rsidP="00C45257">
            <w:pPr>
              <w:jc w:val="center"/>
              <w:rPr>
                <w:b/>
                <w:sz w:val="16"/>
                <w:szCs w:val="16"/>
              </w:rPr>
            </w:pPr>
            <w:r w:rsidRPr="00C45257">
              <w:rPr>
                <w:b/>
                <w:sz w:val="16"/>
                <w:szCs w:val="16"/>
              </w:rPr>
              <w:t>77,4</w:t>
            </w:r>
          </w:p>
        </w:tc>
        <w:tc>
          <w:tcPr>
            <w:tcW w:w="1098" w:type="dxa"/>
            <w:vAlign w:val="center"/>
          </w:tcPr>
          <w:p w:rsidR="00C45257" w:rsidRPr="00832FBF" w:rsidRDefault="00773BA2" w:rsidP="00DB5C6B">
            <w:pPr>
              <w:widowControl w:val="0"/>
              <w:numPr>
                <w:ilvl w:val="12"/>
                <w:numId w:val="0"/>
              </w:numPr>
              <w:jc w:val="center"/>
              <w:rPr>
                <w:b/>
                <w:sz w:val="16"/>
                <w:szCs w:val="16"/>
              </w:rPr>
            </w:pPr>
            <w:r>
              <w:rPr>
                <w:b/>
                <w:sz w:val="16"/>
                <w:szCs w:val="16"/>
              </w:rPr>
              <w:t>50,8</w:t>
            </w:r>
          </w:p>
        </w:tc>
      </w:tr>
      <w:tr w:rsidR="00C45257" w:rsidRPr="002A072A" w:rsidTr="00C45257">
        <w:tc>
          <w:tcPr>
            <w:tcW w:w="4219" w:type="dxa"/>
          </w:tcPr>
          <w:p w:rsidR="00C45257" w:rsidRPr="001E0253" w:rsidRDefault="00C45257"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C45257" w:rsidRPr="00601AE1" w:rsidRDefault="00C45257" w:rsidP="00DB5C6B">
            <w:pPr>
              <w:widowControl w:val="0"/>
              <w:numPr>
                <w:ilvl w:val="12"/>
                <w:numId w:val="0"/>
              </w:numPr>
              <w:jc w:val="center"/>
              <w:rPr>
                <w:sz w:val="16"/>
                <w:szCs w:val="16"/>
              </w:rPr>
            </w:pPr>
            <w:r>
              <w:rPr>
                <w:sz w:val="16"/>
                <w:szCs w:val="16"/>
              </w:rPr>
              <w:t>825</w:t>
            </w:r>
          </w:p>
        </w:tc>
        <w:tc>
          <w:tcPr>
            <w:tcW w:w="1134" w:type="dxa"/>
            <w:vAlign w:val="center"/>
          </w:tcPr>
          <w:p w:rsidR="00C45257" w:rsidRPr="00601AE1" w:rsidRDefault="00C45257" w:rsidP="00DB5C6B">
            <w:pPr>
              <w:widowControl w:val="0"/>
              <w:numPr>
                <w:ilvl w:val="12"/>
                <w:numId w:val="0"/>
              </w:numPr>
              <w:jc w:val="center"/>
              <w:rPr>
                <w:sz w:val="16"/>
                <w:szCs w:val="16"/>
              </w:rPr>
            </w:pPr>
            <w:r>
              <w:rPr>
                <w:sz w:val="16"/>
                <w:szCs w:val="16"/>
              </w:rPr>
              <w:t>690</w:t>
            </w:r>
          </w:p>
        </w:tc>
        <w:tc>
          <w:tcPr>
            <w:tcW w:w="1134" w:type="dxa"/>
            <w:vAlign w:val="center"/>
          </w:tcPr>
          <w:p w:rsidR="00C45257" w:rsidRPr="00C45257" w:rsidRDefault="00C45257" w:rsidP="00C45257">
            <w:pPr>
              <w:jc w:val="center"/>
              <w:rPr>
                <w:sz w:val="16"/>
                <w:szCs w:val="16"/>
              </w:rPr>
            </w:pPr>
            <w:r w:rsidRPr="00C45257">
              <w:rPr>
                <w:sz w:val="16"/>
                <w:szCs w:val="16"/>
              </w:rPr>
              <w:t>-135</w:t>
            </w:r>
          </w:p>
        </w:tc>
        <w:tc>
          <w:tcPr>
            <w:tcW w:w="1134" w:type="dxa"/>
            <w:vAlign w:val="center"/>
          </w:tcPr>
          <w:p w:rsidR="00C45257" w:rsidRPr="00C45257" w:rsidRDefault="00C45257" w:rsidP="00C45257">
            <w:pPr>
              <w:jc w:val="center"/>
              <w:rPr>
                <w:sz w:val="16"/>
                <w:szCs w:val="16"/>
              </w:rPr>
            </w:pPr>
            <w:r w:rsidRPr="00C45257">
              <w:rPr>
                <w:sz w:val="16"/>
                <w:szCs w:val="16"/>
              </w:rPr>
              <w:t>83,6</w:t>
            </w:r>
          </w:p>
        </w:tc>
        <w:tc>
          <w:tcPr>
            <w:tcW w:w="1098" w:type="dxa"/>
            <w:vAlign w:val="center"/>
          </w:tcPr>
          <w:p w:rsidR="00C45257" w:rsidRDefault="00773BA2" w:rsidP="00DB5C6B">
            <w:pPr>
              <w:widowControl w:val="0"/>
              <w:numPr>
                <w:ilvl w:val="12"/>
                <w:numId w:val="0"/>
              </w:numPr>
              <w:jc w:val="center"/>
              <w:rPr>
                <w:sz w:val="16"/>
                <w:szCs w:val="16"/>
              </w:rPr>
            </w:pPr>
            <w:r>
              <w:rPr>
                <w:sz w:val="16"/>
                <w:szCs w:val="16"/>
              </w:rPr>
              <w:t>13,6</w:t>
            </w:r>
          </w:p>
        </w:tc>
      </w:tr>
      <w:tr w:rsidR="00C45257" w:rsidRPr="002A072A" w:rsidTr="00C45257">
        <w:tc>
          <w:tcPr>
            <w:tcW w:w="4219" w:type="dxa"/>
          </w:tcPr>
          <w:p w:rsidR="00C45257" w:rsidRPr="001E0253" w:rsidRDefault="00C45257"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C45257" w:rsidRPr="00601AE1" w:rsidRDefault="00C45257" w:rsidP="00DB5C6B">
            <w:pPr>
              <w:widowControl w:val="0"/>
              <w:numPr>
                <w:ilvl w:val="12"/>
                <w:numId w:val="0"/>
              </w:numPr>
              <w:jc w:val="center"/>
              <w:rPr>
                <w:sz w:val="16"/>
                <w:szCs w:val="16"/>
              </w:rPr>
            </w:pPr>
            <w:r>
              <w:rPr>
                <w:sz w:val="16"/>
                <w:szCs w:val="16"/>
              </w:rPr>
              <w:t>1</w:t>
            </w:r>
          </w:p>
        </w:tc>
        <w:tc>
          <w:tcPr>
            <w:tcW w:w="1134" w:type="dxa"/>
            <w:vAlign w:val="center"/>
          </w:tcPr>
          <w:p w:rsidR="00C45257" w:rsidRPr="00601AE1" w:rsidRDefault="00C45257" w:rsidP="00DB5C6B">
            <w:pPr>
              <w:widowControl w:val="0"/>
              <w:numPr>
                <w:ilvl w:val="12"/>
                <w:numId w:val="0"/>
              </w:numPr>
              <w:jc w:val="center"/>
              <w:rPr>
                <w:sz w:val="16"/>
                <w:szCs w:val="16"/>
              </w:rPr>
            </w:pPr>
            <w:r>
              <w:rPr>
                <w:sz w:val="16"/>
                <w:szCs w:val="16"/>
              </w:rPr>
              <w:t>1</w:t>
            </w:r>
          </w:p>
        </w:tc>
        <w:tc>
          <w:tcPr>
            <w:tcW w:w="1134" w:type="dxa"/>
            <w:vAlign w:val="center"/>
          </w:tcPr>
          <w:p w:rsidR="00C45257" w:rsidRPr="00C45257" w:rsidRDefault="00C45257" w:rsidP="00C45257">
            <w:pPr>
              <w:jc w:val="center"/>
              <w:rPr>
                <w:sz w:val="16"/>
                <w:szCs w:val="16"/>
              </w:rPr>
            </w:pPr>
            <w:r w:rsidRPr="00C45257">
              <w:rPr>
                <w:sz w:val="16"/>
                <w:szCs w:val="16"/>
              </w:rPr>
              <w:t>0</w:t>
            </w:r>
          </w:p>
        </w:tc>
        <w:tc>
          <w:tcPr>
            <w:tcW w:w="1134" w:type="dxa"/>
            <w:vAlign w:val="center"/>
          </w:tcPr>
          <w:p w:rsidR="00C45257" w:rsidRPr="00C45257" w:rsidRDefault="00C45257" w:rsidP="00C45257">
            <w:pPr>
              <w:jc w:val="center"/>
              <w:rPr>
                <w:sz w:val="16"/>
                <w:szCs w:val="16"/>
              </w:rPr>
            </w:pPr>
            <w:r w:rsidRPr="00C45257">
              <w:rPr>
                <w:sz w:val="16"/>
                <w:szCs w:val="16"/>
              </w:rPr>
              <w:t>100</w:t>
            </w:r>
          </w:p>
        </w:tc>
        <w:tc>
          <w:tcPr>
            <w:tcW w:w="1098" w:type="dxa"/>
            <w:vAlign w:val="center"/>
          </w:tcPr>
          <w:p w:rsidR="00C45257" w:rsidRDefault="00773BA2" w:rsidP="00DB5C6B">
            <w:pPr>
              <w:widowControl w:val="0"/>
              <w:numPr>
                <w:ilvl w:val="12"/>
                <w:numId w:val="0"/>
              </w:numPr>
              <w:jc w:val="center"/>
              <w:rPr>
                <w:sz w:val="16"/>
                <w:szCs w:val="16"/>
              </w:rPr>
            </w:pPr>
            <w:r>
              <w:rPr>
                <w:sz w:val="16"/>
                <w:szCs w:val="16"/>
              </w:rPr>
              <w:t>0,02</w:t>
            </w:r>
          </w:p>
        </w:tc>
      </w:tr>
      <w:tr w:rsidR="00C45257" w:rsidRPr="002A072A" w:rsidTr="00C45257">
        <w:tc>
          <w:tcPr>
            <w:tcW w:w="4219" w:type="dxa"/>
          </w:tcPr>
          <w:p w:rsidR="00C45257" w:rsidRPr="001E0253" w:rsidRDefault="00C45257"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C45257" w:rsidRPr="00601AE1" w:rsidRDefault="00C45257" w:rsidP="00DB5C6B">
            <w:pPr>
              <w:widowControl w:val="0"/>
              <w:numPr>
                <w:ilvl w:val="12"/>
                <w:numId w:val="0"/>
              </w:numPr>
              <w:jc w:val="center"/>
              <w:rPr>
                <w:sz w:val="16"/>
                <w:szCs w:val="16"/>
              </w:rPr>
            </w:pPr>
            <w:r>
              <w:rPr>
                <w:sz w:val="16"/>
                <w:szCs w:val="16"/>
              </w:rPr>
              <w:t>2500</w:t>
            </w:r>
          </w:p>
        </w:tc>
        <w:tc>
          <w:tcPr>
            <w:tcW w:w="1134" w:type="dxa"/>
            <w:vAlign w:val="center"/>
          </w:tcPr>
          <w:p w:rsidR="00C45257" w:rsidRPr="00601AE1" w:rsidRDefault="00C45257" w:rsidP="00DB5C6B">
            <w:pPr>
              <w:widowControl w:val="0"/>
              <w:numPr>
                <w:ilvl w:val="12"/>
                <w:numId w:val="0"/>
              </w:numPr>
              <w:jc w:val="center"/>
              <w:rPr>
                <w:sz w:val="16"/>
                <w:szCs w:val="16"/>
              </w:rPr>
            </w:pPr>
            <w:r>
              <w:rPr>
                <w:sz w:val="16"/>
                <w:szCs w:val="16"/>
              </w:rPr>
              <w:t>1733,2</w:t>
            </w:r>
          </w:p>
        </w:tc>
        <w:tc>
          <w:tcPr>
            <w:tcW w:w="1134" w:type="dxa"/>
            <w:vAlign w:val="center"/>
          </w:tcPr>
          <w:p w:rsidR="00C45257" w:rsidRPr="00C45257" w:rsidRDefault="00C45257" w:rsidP="00C45257">
            <w:pPr>
              <w:jc w:val="center"/>
              <w:rPr>
                <w:sz w:val="16"/>
                <w:szCs w:val="16"/>
              </w:rPr>
            </w:pPr>
            <w:r w:rsidRPr="00C45257">
              <w:rPr>
                <w:sz w:val="16"/>
                <w:szCs w:val="16"/>
              </w:rPr>
              <w:t>-766,8</w:t>
            </w:r>
          </w:p>
        </w:tc>
        <w:tc>
          <w:tcPr>
            <w:tcW w:w="1134" w:type="dxa"/>
            <w:vAlign w:val="center"/>
          </w:tcPr>
          <w:p w:rsidR="00C45257" w:rsidRPr="00C45257" w:rsidRDefault="00C45257" w:rsidP="00C45257">
            <w:pPr>
              <w:jc w:val="center"/>
              <w:rPr>
                <w:sz w:val="16"/>
                <w:szCs w:val="16"/>
              </w:rPr>
            </w:pPr>
            <w:r w:rsidRPr="00C45257">
              <w:rPr>
                <w:sz w:val="16"/>
                <w:szCs w:val="16"/>
              </w:rPr>
              <w:t>69,3</w:t>
            </w:r>
          </w:p>
        </w:tc>
        <w:tc>
          <w:tcPr>
            <w:tcW w:w="1098" w:type="dxa"/>
            <w:vAlign w:val="center"/>
          </w:tcPr>
          <w:p w:rsidR="00C45257" w:rsidRDefault="00773BA2" w:rsidP="00DB5C6B">
            <w:pPr>
              <w:widowControl w:val="0"/>
              <w:numPr>
                <w:ilvl w:val="12"/>
                <w:numId w:val="0"/>
              </w:numPr>
              <w:jc w:val="center"/>
              <w:rPr>
                <w:sz w:val="16"/>
                <w:szCs w:val="16"/>
              </w:rPr>
            </w:pPr>
            <w:r>
              <w:rPr>
                <w:sz w:val="16"/>
                <w:szCs w:val="16"/>
              </w:rPr>
              <w:t>34,1</w:t>
            </w:r>
          </w:p>
        </w:tc>
      </w:tr>
      <w:tr w:rsidR="00C45257" w:rsidRPr="002A072A" w:rsidTr="00C45257">
        <w:tc>
          <w:tcPr>
            <w:tcW w:w="4219" w:type="dxa"/>
          </w:tcPr>
          <w:p w:rsidR="00C45257" w:rsidRPr="001E0253" w:rsidRDefault="00C45257"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C45257" w:rsidRDefault="00C45257" w:rsidP="00DB5C6B">
            <w:pPr>
              <w:widowControl w:val="0"/>
              <w:numPr>
                <w:ilvl w:val="12"/>
                <w:numId w:val="0"/>
              </w:numPr>
              <w:jc w:val="center"/>
              <w:rPr>
                <w:sz w:val="16"/>
                <w:szCs w:val="16"/>
              </w:rPr>
            </w:pPr>
            <w:r>
              <w:rPr>
                <w:sz w:val="16"/>
                <w:szCs w:val="16"/>
              </w:rPr>
              <w:t>0</w:t>
            </w:r>
          </w:p>
        </w:tc>
        <w:tc>
          <w:tcPr>
            <w:tcW w:w="1134" w:type="dxa"/>
            <w:vAlign w:val="center"/>
          </w:tcPr>
          <w:p w:rsidR="00C45257" w:rsidRDefault="00C45257" w:rsidP="00DB5C6B">
            <w:pPr>
              <w:widowControl w:val="0"/>
              <w:numPr>
                <w:ilvl w:val="12"/>
                <w:numId w:val="0"/>
              </w:numPr>
              <w:jc w:val="center"/>
              <w:rPr>
                <w:sz w:val="16"/>
                <w:szCs w:val="16"/>
              </w:rPr>
            </w:pPr>
            <w:r>
              <w:rPr>
                <w:sz w:val="16"/>
                <w:szCs w:val="16"/>
              </w:rPr>
              <w:t>150</w:t>
            </w:r>
          </w:p>
        </w:tc>
        <w:tc>
          <w:tcPr>
            <w:tcW w:w="1134" w:type="dxa"/>
            <w:vAlign w:val="center"/>
          </w:tcPr>
          <w:p w:rsidR="00C45257" w:rsidRPr="00C45257" w:rsidRDefault="00C45257" w:rsidP="00C45257">
            <w:pPr>
              <w:jc w:val="center"/>
              <w:rPr>
                <w:sz w:val="16"/>
                <w:szCs w:val="16"/>
              </w:rPr>
            </w:pPr>
            <w:r w:rsidRPr="00C45257">
              <w:rPr>
                <w:sz w:val="16"/>
                <w:szCs w:val="16"/>
              </w:rPr>
              <w:t>150</w:t>
            </w:r>
          </w:p>
        </w:tc>
        <w:tc>
          <w:tcPr>
            <w:tcW w:w="1134" w:type="dxa"/>
            <w:vAlign w:val="center"/>
          </w:tcPr>
          <w:p w:rsidR="00C45257" w:rsidRPr="00C45257" w:rsidRDefault="00C45257" w:rsidP="00C45257">
            <w:pPr>
              <w:jc w:val="center"/>
              <w:rPr>
                <w:sz w:val="16"/>
                <w:szCs w:val="16"/>
              </w:rPr>
            </w:pPr>
            <w:r>
              <w:rPr>
                <w:sz w:val="16"/>
                <w:szCs w:val="16"/>
              </w:rPr>
              <w:t>-</w:t>
            </w:r>
          </w:p>
        </w:tc>
        <w:tc>
          <w:tcPr>
            <w:tcW w:w="1098" w:type="dxa"/>
            <w:vAlign w:val="center"/>
          </w:tcPr>
          <w:p w:rsidR="00C45257" w:rsidRDefault="00773BA2" w:rsidP="00DB5C6B">
            <w:pPr>
              <w:widowControl w:val="0"/>
              <w:numPr>
                <w:ilvl w:val="12"/>
                <w:numId w:val="0"/>
              </w:numPr>
              <w:jc w:val="center"/>
              <w:rPr>
                <w:sz w:val="16"/>
                <w:szCs w:val="16"/>
              </w:rPr>
            </w:pPr>
            <w:r>
              <w:rPr>
                <w:sz w:val="16"/>
                <w:szCs w:val="16"/>
              </w:rPr>
              <w:t>3</w:t>
            </w:r>
          </w:p>
        </w:tc>
      </w:tr>
      <w:tr w:rsidR="00C45257" w:rsidRPr="002A072A" w:rsidTr="00C45257">
        <w:tc>
          <w:tcPr>
            <w:tcW w:w="4219" w:type="dxa"/>
          </w:tcPr>
          <w:p w:rsidR="00C45257" w:rsidRPr="00883B52" w:rsidRDefault="00C45257" w:rsidP="006D30B0">
            <w:pPr>
              <w:widowControl w:val="0"/>
              <w:rPr>
                <w:sz w:val="16"/>
                <w:szCs w:val="16"/>
              </w:rPr>
            </w:pPr>
            <w:r w:rsidRPr="00883B52">
              <w:rPr>
                <w:sz w:val="16"/>
                <w:szCs w:val="16"/>
              </w:rPr>
              <w:t>Резервный фонд (0111)</w:t>
            </w:r>
          </w:p>
        </w:tc>
        <w:tc>
          <w:tcPr>
            <w:tcW w:w="1134" w:type="dxa"/>
            <w:vAlign w:val="center"/>
          </w:tcPr>
          <w:p w:rsidR="00C45257" w:rsidRPr="00601AE1" w:rsidRDefault="00C45257" w:rsidP="00DB5C6B">
            <w:pPr>
              <w:widowControl w:val="0"/>
              <w:numPr>
                <w:ilvl w:val="12"/>
                <w:numId w:val="0"/>
              </w:numPr>
              <w:jc w:val="center"/>
              <w:rPr>
                <w:sz w:val="16"/>
                <w:szCs w:val="16"/>
              </w:rPr>
            </w:pPr>
            <w:r>
              <w:rPr>
                <w:sz w:val="16"/>
                <w:szCs w:val="16"/>
              </w:rPr>
              <w:t>5</w:t>
            </w:r>
          </w:p>
        </w:tc>
        <w:tc>
          <w:tcPr>
            <w:tcW w:w="1134" w:type="dxa"/>
            <w:vAlign w:val="center"/>
          </w:tcPr>
          <w:p w:rsidR="00C45257" w:rsidRPr="00601AE1" w:rsidRDefault="00C45257" w:rsidP="00DB5C6B">
            <w:pPr>
              <w:widowControl w:val="0"/>
              <w:numPr>
                <w:ilvl w:val="12"/>
                <w:numId w:val="0"/>
              </w:numPr>
              <w:jc w:val="center"/>
              <w:rPr>
                <w:sz w:val="16"/>
                <w:szCs w:val="16"/>
              </w:rPr>
            </w:pPr>
            <w:r>
              <w:rPr>
                <w:sz w:val="16"/>
                <w:szCs w:val="16"/>
              </w:rPr>
              <w:t>5</w:t>
            </w:r>
          </w:p>
        </w:tc>
        <w:tc>
          <w:tcPr>
            <w:tcW w:w="1134" w:type="dxa"/>
            <w:vAlign w:val="center"/>
          </w:tcPr>
          <w:p w:rsidR="00C45257" w:rsidRPr="00C45257" w:rsidRDefault="00C45257" w:rsidP="00C45257">
            <w:pPr>
              <w:jc w:val="center"/>
              <w:rPr>
                <w:sz w:val="16"/>
                <w:szCs w:val="16"/>
              </w:rPr>
            </w:pPr>
            <w:r w:rsidRPr="00C45257">
              <w:rPr>
                <w:sz w:val="16"/>
                <w:szCs w:val="16"/>
              </w:rPr>
              <w:t>0</w:t>
            </w:r>
          </w:p>
        </w:tc>
        <w:tc>
          <w:tcPr>
            <w:tcW w:w="1134" w:type="dxa"/>
            <w:vAlign w:val="center"/>
          </w:tcPr>
          <w:p w:rsidR="00C45257" w:rsidRPr="00C45257" w:rsidRDefault="00C45257" w:rsidP="00C45257">
            <w:pPr>
              <w:jc w:val="center"/>
              <w:rPr>
                <w:sz w:val="16"/>
                <w:szCs w:val="16"/>
              </w:rPr>
            </w:pPr>
            <w:r w:rsidRPr="00C45257">
              <w:rPr>
                <w:sz w:val="16"/>
                <w:szCs w:val="16"/>
              </w:rPr>
              <w:t>100</w:t>
            </w:r>
          </w:p>
        </w:tc>
        <w:tc>
          <w:tcPr>
            <w:tcW w:w="1098" w:type="dxa"/>
            <w:vAlign w:val="center"/>
          </w:tcPr>
          <w:p w:rsidR="00C45257" w:rsidRDefault="00773BA2" w:rsidP="00DB5C6B">
            <w:pPr>
              <w:widowControl w:val="0"/>
              <w:numPr>
                <w:ilvl w:val="12"/>
                <w:numId w:val="0"/>
              </w:numPr>
              <w:jc w:val="center"/>
              <w:rPr>
                <w:sz w:val="16"/>
                <w:szCs w:val="16"/>
              </w:rPr>
            </w:pPr>
            <w:r>
              <w:rPr>
                <w:sz w:val="16"/>
                <w:szCs w:val="16"/>
              </w:rPr>
              <w:t>0,1</w:t>
            </w:r>
          </w:p>
        </w:tc>
      </w:tr>
      <w:tr w:rsidR="00C45257" w:rsidRPr="002A072A" w:rsidTr="00C45257">
        <w:tc>
          <w:tcPr>
            <w:tcW w:w="4219" w:type="dxa"/>
          </w:tcPr>
          <w:p w:rsidR="00C45257" w:rsidRPr="00883B52" w:rsidRDefault="00C45257"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C45257" w:rsidRPr="00601AE1" w:rsidRDefault="00C45257" w:rsidP="00DB5C6B">
            <w:pPr>
              <w:widowControl w:val="0"/>
              <w:numPr>
                <w:ilvl w:val="12"/>
                <w:numId w:val="0"/>
              </w:numPr>
              <w:jc w:val="center"/>
              <w:rPr>
                <w:sz w:val="16"/>
                <w:szCs w:val="16"/>
              </w:rPr>
            </w:pPr>
            <w:r>
              <w:rPr>
                <w:sz w:val="16"/>
                <w:szCs w:val="16"/>
              </w:rPr>
              <w:t>0,7</w:t>
            </w:r>
          </w:p>
        </w:tc>
        <w:tc>
          <w:tcPr>
            <w:tcW w:w="1134" w:type="dxa"/>
            <w:vAlign w:val="center"/>
          </w:tcPr>
          <w:p w:rsidR="00C45257" w:rsidRPr="00601AE1" w:rsidRDefault="00C45257" w:rsidP="00DB5C6B">
            <w:pPr>
              <w:widowControl w:val="0"/>
              <w:numPr>
                <w:ilvl w:val="12"/>
                <w:numId w:val="0"/>
              </w:numPr>
              <w:jc w:val="center"/>
              <w:rPr>
                <w:sz w:val="16"/>
                <w:szCs w:val="16"/>
              </w:rPr>
            </w:pPr>
            <w:r>
              <w:rPr>
                <w:sz w:val="16"/>
                <w:szCs w:val="16"/>
              </w:rPr>
              <w:t>0,7</w:t>
            </w:r>
          </w:p>
        </w:tc>
        <w:tc>
          <w:tcPr>
            <w:tcW w:w="1134" w:type="dxa"/>
            <w:vAlign w:val="center"/>
          </w:tcPr>
          <w:p w:rsidR="00C45257" w:rsidRPr="00C45257" w:rsidRDefault="00C45257" w:rsidP="00C45257">
            <w:pPr>
              <w:jc w:val="center"/>
              <w:rPr>
                <w:sz w:val="16"/>
                <w:szCs w:val="16"/>
              </w:rPr>
            </w:pPr>
            <w:r w:rsidRPr="00C45257">
              <w:rPr>
                <w:sz w:val="16"/>
                <w:szCs w:val="16"/>
              </w:rPr>
              <w:t>0</w:t>
            </w:r>
          </w:p>
        </w:tc>
        <w:tc>
          <w:tcPr>
            <w:tcW w:w="1134" w:type="dxa"/>
            <w:vAlign w:val="center"/>
          </w:tcPr>
          <w:p w:rsidR="00C45257" w:rsidRPr="00C45257" w:rsidRDefault="00C45257" w:rsidP="00C45257">
            <w:pPr>
              <w:jc w:val="center"/>
              <w:rPr>
                <w:sz w:val="16"/>
                <w:szCs w:val="16"/>
              </w:rPr>
            </w:pPr>
            <w:r w:rsidRPr="00C45257">
              <w:rPr>
                <w:sz w:val="16"/>
                <w:szCs w:val="16"/>
              </w:rPr>
              <w:t>100</w:t>
            </w:r>
          </w:p>
        </w:tc>
        <w:tc>
          <w:tcPr>
            <w:tcW w:w="1098" w:type="dxa"/>
            <w:vAlign w:val="center"/>
          </w:tcPr>
          <w:p w:rsidR="00C45257" w:rsidRDefault="00773BA2" w:rsidP="00DB5C6B">
            <w:pPr>
              <w:widowControl w:val="0"/>
              <w:numPr>
                <w:ilvl w:val="12"/>
                <w:numId w:val="0"/>
              </w:numPr>
              <w:jc w:val="center"/>
              <w:rPr>
                <w:sz w:val="16"/>
                <w:szCs w:val="16"/>
              </w:rPr>
            </w:pPr>
            <w:r>
              <w:rPr>
                <w:sz w:val="16"/>
                <w:szCs w:val="16"/>
              </w:rPr>
              <w:t>0,01</w:t>
            </w:r>
          </w:p>
        </w:tc>
      </w:tr>
      <w:tr w:rsidR="00C45257" w:rsidRPr="002A072A" w:rsidTr="00C45257">
        <w:tc>
          <w:tcPr>
            <w:tcW w:w="4219" w:type="dxa"/>
          </w:tcPr>
          <w:p w:rsidR="00C45257" w:rsidRPr="00883B52" w:rsidRDefault="00C45257"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137,3</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143,4</w:t>
            </w:r>
          </w:p>
        </w:tc>
        <w:tc>
          <w:tcPr>
            <w:tcW w:w="1134" w:type="dxa"/>
            <w:vAlign w:val="center"/>
          </w:tcPr>
          <w:p w:rsidR="00C45257" w:rsidRPr="00C45257" w:rsidRDefault="00C45257" w:rsidP="00C45257">
            <w:pPr>
              <w:jc w:val="center"/>
              <w:rPr>
                <w:b/>
                <w:sz w:val="16"/>
                <w:szCs w:val="16"/>
              </w:rPr>
            </w:pPr>
            <w:r w:rsidRPr="00C45257">
              <w:rPr>
                <w:b/>
                <w:sz w:val="16"/>
                <w:szCs w:val="16"/>
              </w:rPr>
              <w:t>6,1</w:t>
            </w:r>
          </w:p>
        </w:tc>
        <w:tc>
          <w:tcPr>
            <w:tcW w:w="1134" w:type="dxa"/>
            <w:vAlign w:val="center"/>
          </w:tcPr>
          <w:p w:rsidR="00C45257" w:rsidRPr="00C45257" w:rsidRDefault="00C45257" w:rsidP="00C45257">
            <w:pPr>
              <w:jc w:val="center"/>
              <w:rPr>
                <w:b/>
                <w:sz w:val="16"/>
                <w:szCs w:val="16"/>
              </w:rPr>
            </w:pPr>
            <w:r w:rsidRPr="00C45257">
              <w:rPr>
                <w:b/>
                <w:sz w:val="16"/>
                <w:szCs w:val="16"/>
              </w:rPr>
              <w:t>104,4</w:t>
            </w:r>
          </w:p>
        </w:tc>
        <w:tc>
          <w:tcPr>
            <w:tcW w:w="1098" w:type="dxa"/>
            <w:vAlign w:val="center"/>
          </w:tcPr>
          <w:p w:rsidR="00C45257" w:rsidRPr="0073485F" w:rsidRDefault="00773BA2" w:rsidP="00DB5C6B">
            <w:pPr>
              <w:widowControl w:val="0"/>
              <w:numPr>
                <w:ilvl w:val="12"/>
                <w:numId w:val="0"/>
              </w:numPr>
              <w:jc w:val="center"/>
              <w:rPr>
                <w:b/>
                <w:sz w:val="16"/>
                <w:szCs w:val="16"/>
              </w:rPr>
            </w:pPr>
            <w:r>
              <w:rPr>
                <w:b/>
                <w:sz w:val="16"/>
                <w:szCs w:val="16"/>
              </w:rPr>
              <w:t>2,8</w:t>
            </w:r>
          </w:p>
        </w:tc>
      </w:tr>
      <w:tr w:rsidR="00C45257" w:rsidRPr="002A072A" w:rsidTr="00C45257">
        <w:tc>
          <w:tcPr>
            <w:tcW w:w="4219" w:type="dxa"/>
          </w:tcPr>
          <w:p w:rsidR="00C45257" w:rsidRPr="00832FBF" w:rsidRDefault="00C45257"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84,2</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4</w:t>
            </w:r>
          </w:p>
        </w:tc>
        <w:tc>
          <w:tcPr>
            <w:tcW w:w="1134" w:type="dxa"/>
            <w:vAlign w:val="center"/>
          </w:tcPr>
          <w:p w:rsidR="00C45257" w:rsidRPr="00C45257" w:rsidRDefault="00C45257" w:rsidP="00C45257">
            <w:pPr>
              <w:jc w:val="center"/>
              <w:rPr>
                <w:b/>
                <w:sz w:val="16"/>
                <w:szCs w:val="16"/>
              </w:rPr>
            </w:pPr>
            <w:r w:rsidRPr="00C45257">
              <w:rPr>
                <w:b/>
                <w:sz w:val="16"/>
                <w:szCs w:val="16"/>
              </w:rPr>
              <w:t>-80,2</w:t>
            </w:r>
          </w:p>
        </w:tc>
        <w:tc>
          <w:tcPr>
            <w:tcW w:w="1134" w:type="dxa"/>
            <w:vAlign w:val="center"/>
          </w:tcPr>
          <w:p w:rsidR="00C45257" w:rsidRPr="00C45257" w:rsidRDefault="00C45257" w:rsidP="00C45257">
            <w:pPr>
              <w:jc w:val="center"/>
              <w:rPr>
                <w:b/>
                <w:sz w:val="16"/>
                <w:szCs w:val="16"/>
              </w:rPr>
            </w:pPr>
            <w:r w:rsidRPr="00C45257">
              <w:rPr>
                <w:b/>
                <w:sz w:val="16"/>
                <w:szCs w:val="16"/>
              </w:rPr>
              <w:t>4,8</w:t>
            </w:r>
          </w:p>
        </w:tc>
        <w:tc>
          <w:tcPr>
            <w:tcW w:w="1098" w:type="dxa"/>
            <w:vAlign w:val="center"/>
          </w:tcPr>
          <w:p w:rsidR="00C45257" w:rsidRPr="00DB5C6B" w:rsidRDefault="00773BA2" w:rsidP="00DB5C6B">
            <w:pPr>
              <w:widowControl w:val="0"/>
              <w:numPr>
                <w:ilvl w:val="12"/>
                <w:numId w:val="0"/>
              </w:numPr>
              <w:jc w:val="center"/>
              <w:rPr>
                <w:b/>
                <w:sz w:val="16"/>
                <w:szCs w:val="16"/>
              </w:rPr>
            </w:pPr>
            <w:r>
              <w:rPr>
                <w:b/>
                <w:sz w:val="16"/>
                <w:szCs w:val="16"/>
              </w:rPr>
              <w:t>0,08</w:t>
            </w:r>
          </w:p>
        </w:tc>
      </w:tr>
      <w:tr w:rsidR="00C45257" w:rsidRPr="002A072A" w:rsidTr="00C45257">
        <w:tc>
          <w:tcPr>
            <w:tcW w:w="4219" w:type="dxa"/>
          </w:tcPr>
          <w:p w:rsidR="00C45257" w:rsidRPr="00D40A55" w:rsidRDefault="00C45257" w:rsidP="00D40A55">
            <w:pPr>
              <w:widowControl w:val="0"/>
              <w:rPr>
                <w:bCs/>
                <w:sz w:val="16"/>
                <w:szCs w:val="16"/>
              </w:rPr>
            </w:pPr>
            <w:r w:rsidRPr="00D40A55">
              <w:rPr>
                <w:bCs/>
                <w:sz w:val="16"/>
                <w:szCs w:val="16"/>
              </w:rPr>
              <w:t>Гражданская оборона (0309)</w:t>
            </w:r>
          </w:p>
        </w:tc>
        <w:tc>
          <w:tcPr>
            <w:tcW w:w="1134" w:type="dxa"/>
            <w:vAlign w:val="center"/>
          </w:tcPr>
          <w:p w:rsidR="00C45257" w:rsidRPr="00D40A55" w:rsidRDefault="00C45257" w:rsidP="00DB5C6B">
            <w:pPr>
              <w:widowControl w:val="0"/>
              <w:numPr>
                <w:ilvl w:val="12"/>
                <w:numId w:val="0"/>
              </w:numPr>
              <w:jc w:val="center"/>
              <w:rPr>
                <w:sz w:val="16"/>
                <w:szCs w:val="16"/>
              </w:rPr>
            </w:pPr>
            <w:r>
              <w:rPr>
                <w:sz w:val="16"/>
                <w:szCs w:val="16"/>
              </w:rPr>
              <w:t>0</w:t>
            </w:r>
          </w:p>
        </w:tc>
        <w:tc>
          <w:tcPr>
            <w:tcW w:w="1134" w:type="dxa"/>
            <w:vAlign w:val="center"/>
          </w:tcPr>
          <w:p w:rsidR="00C45257" w:rsidRPr="00D40A55" w:rsidRDefault="00C45257" w:rsidP="00DB5C6B">
            <w:pPr>
              <w:widowControl w:val="0"/>
              <w:numPr>
                <w:ilvl w:val="12"/>
                <w:numId w:val="0"/>
              </w:numPr>
              <w:jc w:val="center"/>
              <w:rPr>
                <w:sz w:val="16"/>
                <w:szCs w:val="16"/>
              </w:rPr>
            </w:pPr>
            <w:r w:rsidRPr="00D40A55">
              <w:rPr>
                <w:sz w:val="16"/>
                <w:szCs w:val="16"/>
              </w:rPr>
              <w:t>1</w:t>
            </w:r>
          </w:p>
        </w:tc>
        <w:tc>
          <w:tcPr>
            <w:tcW w:w="1134" w:type="dxa"/>
            <w:vAlign w:val="center"/>
          </w:tcPr>
          <w:p w:rsidR="00C45257" w:rsidRPr="00C45257" w:rsidRDefault="00C45257" w:rsidP="00C45257">
            <w:pPr>
              <w:jc w:val="center"/>
              <w:rPr>
                <w:sz w:val="16"/>
                <w:szCs w:val="16"/>
              </w:rPr>
            </w:pPr>
            <w:r w:rsidRPr="00C45257">
              <w:rPr>
                <w:sz w:val="16"/>
                <w:szCs w:val="16"/>
              </w:rPr>
              <w:t>1</w:t>
            </w:r>
          </w:p>
        </w:tc>
        <w:tc>
          <w:tcPr>
            <w:tcW w:w="1134" w:type="dxa"/>
            <w:vAlign w:val="center"/>
          </w:tcPr>
          <w:p w:rsidR="00C45257" w:rsidRPr="00C45257" w:rsidRDefault="00C45257" w:rsidP="00C45257">
            <w:pPr>
              <w:jc w:val="center"/>
              <w:rPr>
                <w:sz w:val="16"/>
                <w:szCs w:val="16"/>
              </w:rPr>
            </w:pPr>
            <w:r>
              <w:rPr>
                <w:sz w:val="16"/>
                <w:szCs w:val="16"/>
              </w:rPr>
              <w:t>-</w:t>
            </w:r>
          </w:p>
        </w:tc>
        <w:tc>
          <w:tcPr>
            <w:tcW w:w="1098" w:type="dxa"/>
            <w:vAlign w:val="center"/>
          </w:tcPr>
          <w:p w:rsidR="00C45257" w:rsidRPr="00D40A55" w:rsidRDefault="00773BA2" w:rsidP="00DB5C6B">
            <w:pPr>
              <w:widowControl w:val="0"/>
              <w:numPr>
                <w:ilvl w:val="12"/>
                <w:numId w:val="0"/>
              </w:numPr>
              <w:jc w:val="center"/>
              <w:rPr>
                <w:sz w:val="16"/>
                <w:szCs w:val="16"/>
              </w:rPr>
            </w:pPr>
            <w:r>
              <w:rPr>
                <w:sz w:val="16"/>
                <w:szCs w:val="16"/>
              </w:rPr>
              <w:t>0,02</w:t>
            </w:r>
          </w:p>
        </w:tc>
      </w:tr>
      <w:tr w:rsidR="00C45257" w:rsidRPr="002A072A" w:rsidTr="00C45257">
        <w:tc>
          <w:tcPr>
            <w:tcW w:w="4219" w:type="dxa"/>
          </w:tcPr>
          <w:p w:rsidR="00C45257" w:rsidRPr="00832FBF" w:rsidRDefault="00C45257" w:rsidP="006D30B0">
            <w:pPr>
              <w:widowControl w:val="0"/>
              <w:rPr>
                <w:b/>
                <w:bCs/>
                <w:sz w:val="16"/>
                <w:szCs w:val="16"/>
              </w:rPr>
            </w:pPr>
            <w:r w:rsidRPr="002B6228">
              <w:rPr>
                <w:sz w:val="16"/>
                <w:szCs w:val="16"/>
              </w:rPr>
              <w:t>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C45257" w:rsidRPr="00D40A55" w:rsidRDefault="00C45257" w:rsidP="00DB5C6B">
            <w:pPr>
              <w:widowControl w:val="0"/>
              <w:numPr>
                <w:ilvl w:val="12"/>
                <w:numId w:val="0"/>
              </w:numPr>
              <w:jc w:val="center"/>
              <w:rPr>
                <w:sz w:val="16"/>
                <w:szCs w:val="16"/>
              </w:rPr>
            </w:pPr>
            <w:r>
              <w:rPr>
                <w:sz w:val="16"/>
                <w:szCs w:val="16"/>
              </w:rPr>
              <w:t>84,2</w:t>
            </w:r>
          </w:p>
        </w:tc>
        <w:tc>
          <w:tcPr>
            <w:tcW w:w="1134" w:type="dxa"/>
            <w:vAlign w:val="center"/>
          </w:tcPr>
          <w:p w:rsidR="00C45257" w:rsidRPr="00D40A55" w:rsidRDefault="00C45257" w:rsidP="00DB5C6B">
            <w:pPr>
              <w:widowControl w:val="0"/>
              <w:numPr>
                <w:ilvl w:val="12"/>
                <w:numId w:val="0"/>
              </w:numPr>
              <w:jc w:val="center"/>
              <w:rPr>
                <w:sz w:val="16"/>
                <w:szCs w:val="16"/>
              </w:rPr>
            </w:pPr>
            <w:r w:rsidRPr="00D40A55">
              <w:rPr>
                <w:sz w:val="16"/>
                <w:szCs w:val="16"/>
              </w:rPr>
              <w:t>3</w:t>
            </w:r>
          </w:p>
        </w:tc>
        <w:tc>
          <w:tcPr>
            <w:tcW w:w="1134" w:type="dxa"/>
            <w:vAlign w:val="center"/>
          </w:tcPr>
          <w:p w:rsidR="00C45257" w:rsidRPr="00C45257" w:rsidRDefault="00C45257" w:rsidP="00C45257">
            <w:pPr>
              <w:jc w:val="center"/>
              <w:rPr>
                <w:sz w:val="16"/>
                <w:szCs w:val="16"/>
              </w:rPr>
            </w:pPr>
            <w:r w:rsidRPr="00C45257">
              <w:rPr>
                <w:sz w:val="16"/>
                <w:szCs w:val="16"/>
              </w:rPr>
              <w:t>-81,2</w:t>
            </w:r>
          </w:p>
        </w:tc>
        <w:tc>
          <w:tcPr>
            <w:tcW w:w="1134" w:type="dxa"/>
            <w:vAlign w:val="center"/>
          </w:tcPr>
          <w:p w:rsidR="00C45257" w:rsidRPr="00C45257" w:rsidRDefault="00C45257" w:rsidP="00C45257">
            <w:pPr>
              <w:jc w:val="center"/>
              <w:rPr>
                <w:sz w:val="16"/>
                <w:szCs w:val="16"/>
              </w:rPr>
            </w:pPr>
            <w:r w:rsidRPr="00C45257">
              <w:rPr>
                <w:sz w:val="16"/>
                <w:szCs w:val="16"/>
              </w:rPr>
              <w:t>3,6</w:t>
            </w:r>
          </w:p>
        </w:tc>
        <w:tc>
          <w:tcPr>
            <w:tcW w:w="1098" w:type="dxa"/>
            <w:vAlign w:val="center"/>
          </w:tcPr>
          <w:p w:rsidR="00C45257" w:rsidRPr="00D40A55" w:rsidRDefault="00773BA2" w:rsidP="00DB5C6B">
            <w:pPr>
              <w:widowControl w:val="0"/>
              <w:numPr>
                <w:ilvl w:val="12"/>
                <w:numId w:val="0"/>
              </w:numPr>
              <w:jc w:val="center"/>
              <w:rPr>
                <w:sz w:val="16"/>
                <w:szCs w:val="16"/>
              </w:rPr>
            </w:pPr>
            <w:r>
              <w:rPr>
                <w:sz w:val="16"/>
                <w:szCs w:val="16"/>
              </w:rPr>
              <w:t>0,06</w:t>
            </w:r>
          </w:p>
        </w:tc>
      </w:tr>
      <w:tr w:rsidR="00C45257" w:rsidRPr="002A072A" w:rsidTr="00C45257">
        <w:tc>
          <w:tcPr>
            <w:tcW w:w="4219" w:type="dxa"/>
          </w:tcPr>
          <w:p w:rsidR="00C45257" w:rsidRPr="00DB5C6B" w:rsidRDefault="00C45257" w:rsidP="006D30B0">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Дорожное хозяйство (дорожные фонды) </w:t>
            </w:r>
            <w:r>
              <w:rPr>
                <w:sz w:val="16"/>
                <w:szCs w:val="16"/>
              </w:rPr>
              <w:t>(</w:t>
            </w:r>
            <w:r w:rsidRPr="00883B52">
              <w:rPr>
                <w:sz w:val="16"/>
                <w:szCs w:val="16"/>
              </w:rPr>
              <w:t>0409)</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973,3</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311,3</w:t>
            </w:r>
          </w:p>
        </w:tc>
        <w:tc>
          <w:tcPr>
            <w:tcW w:w="1134" w:type="dxa"/>
            <w:vAlign w:val="center"/>
          </w:tcPr>
          <w:p w:rsidR="00C45257" w:rsidRPr="00C45257" w:rsidRDefault="00C45257" w:rsidP="00C45257">
            <w:pPr>
              <w:jc w:val="center"/>
              <w:rPr>
                <w:b/>
                <w:sz w:val="16"/>
                <w:szCs w:val="16"/>
              </w:rPr>
            </w:pPr>
            <w:r w:rsidRPr="00C45257">
              <w:rPr>
                <w:b/>
                <w:sz w:val="16"/>
                <w:szCs w:val="16"/>
              </w:rPr>
              <w:t>-662</w:t>
            </w:r>
          </w:p>
        </w:tc>
        <w:tc>
          <w:tcPr>
            <w:tcW w:w="1134" w:type="dxa"/>
            <w:vAlign w:val="center"/>
          </w:tcPr>
          <w:p w:rsidR="00C45257" w:rsidRPr="00C45257" w:rsidRDefault="00C45257" w:rsidP="00C45257">
            <w:pPr>
              <w:jc w:val="center"/>
              <w:rPr>
                <w:b/>
                <w:sz w:val="16"/>
                <w:szCs w:val="16"/>
              </w:rPr>
            </w:pPr>
            <w:r w:rsidRPr="00C45257">
              <w:rPr>
                <w:b/>
                <w:sz w:val="16"/>
                <w:szCs w:val="16"/>
              </w:rPr>
              <w:t>32</w:t>
            </w:r>
          </w:p>
        </w:tc>
        <w:tc>
          <w:tcPr>
            <w:tcW w:w="1098" w:type="dxa"/>
            <w:vAlign w:val="center"/>
          </w:tcPr>
          <w:p w:rsidR="00C45257" w:rsidRPr="00DB5C6B" w:rsidRDefault="00773BA2" w:rsidP="00DB5C6B">
            <w:pPr>
              <w:widowControl w:val="0"/>
              <w:numPr>
                <w:ilvl w:val="12"/>
                <w:numId w:val="0"/>
              </w:numPr>
              <w:jc w:val="center"/>
              <w:rPr>
                <w:b/>
                <w:sz w:val="16"/>
                <w:szCs w:val="16"/>
              </w:rPr>
            </w:pPr>
            <w:r>
              <w:rPr>
                <w:b/>
                <w:sz w:val="16"/>
                <w:szCs w:val="16"/>
              </w:rPr>
              <w:t>6,1</w:t>
            </w:r>
          </w:p>
        </w:tc>
      </w:tr>
      <w:tr w:rsidR="00C45257" w:rsidRPr="002A072A" w:rsidTr="00C45257">
        <w:tc>
          <w:tcPr>
            <w:tcW w:w="4219" w:type="dxa"/>
          </w:tcPr>
          <w:p w:rsidR="00C45257" w:rsidRPr="00DB5C6B" w:rsidRDefault="00C45257" w:rsidP="006D30B0">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Благоустройство (0503)</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67,3</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220</w:t>
            </w:r>
          </w:p>
        </w:tc>
        <w:tc>
          <w:tcPr>
            <w:tcW w:w="1134" w:type="dxa"/>
            <w:vAlign w:val="center"/>
          </w:tcPr>
          <w:p w:rsidR="00C45257" w:rsidRPr="00C45257" w:rsidRDefault="00C45257" w:rsidP="00C45257">
            <w:pPr>
              <w:jc w:val="center"/>
              <w:rPr>
                <w:b/>
                <w:sz w:val="16"/>
                <w:szCs w:val="16"/>
              </w:rPr>
            </w:pPr>
            <w:r w:rsidRPr="00C45257">
              <w:rPr>
                <w:b/>
                <w:sz w:val="16"/>
                <w:szCs w:val="16"/>
              </w:rPr>
              <w:t>152,7</w:t>
            </w:r>
          </w:p>
        </w:tc>
        <w:tc>
          <w:tcPr>
            <w:tcW w:w="1134" w:type="dxa"/>
            <w:vAlign w:val="center"/>
          </w:tcPr>
          <w:p w:rsidR="00C45257" w:rsidRPr="00C45257" w:rsidRDefault="00C45257" w:rsidP="00C45257">
            <w:pPr>
              <w:jc w:val="center"/>
              <w:rPr>
                <w:b/>
                <w:sz w:val="16"/>
                <w:szCs w:val="16"/>
              </w:rPr>
            </w:pPr>
            <w:r w:rsidRPr="00C45257">
              <w:rPr>
                <w:b/>
                <w:sz w:val="16"/>
                <w:szCs w:val="16"/>
              </w:rPr>
              <w:t>326,9</w:t>
            </w:r>
          </w:p>
        </w:tc>
        <w:tc>
          <w:tcPr>
            <w:tcW w:w="1098" w:type="dxa"/>
            <w:vAlign w:val="center"/>
          </w:tcPr>
          <w:p w:rsidR="00C45257" w:rsidRPr="00DB5C6B" w:rsidRDefault="00773BA2" w:rsidP="00DB5C6B">
            <w:pPr>
              <w:widowControl w:val="0"/>
              <w:numPr>
                <w:ilvl w:val="12"/>
                <w:numId w:val="0"/>
              </w:numPr>
              <w:jc w:val="center"/>
              <w:rPr>
                <w:b/>
                <w:sz w:val="16"/>
                <w:szCs w:val="16"/>
              </w:rPr>
            </w:pPr>
            <w:r>
              <w:rPr>
                <w:b/>
                <w:sz w:val="16"/>
                <w:szCs w:val="16"/>
              </w:rPr>
              <w:t>4,3</w:t>
            </w:r>
          </w:p>
        </w:tc>
      </w:tr>
      <w:tr w:rsidR="00C45257" w:rsidRPr="002A072A" w:rsidTr="00C45257">
        <w:tc>
          <w:tcPr>
            <w:tcW w:w="4219" w:type="dxa"/>
          </w:tcPr>
          <w:p w:rsidR="00C45257" w:rsidRPr="00DB5C6B" w:rsidRDefault="00C45257"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2520</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924,1</w:t>
            </w:r>
          </w:p>
        </w:tc>
        <w:tc>
          <w:tcPr>
            <w:tcW w:w="1134" w:type="dxa"/>
            <w:vAlign w:val="center"/>
          </w:tcPr>
          <w:p w:rsidR="00C45257" w:rsidRPr="00C45257" w:rsidRDefault="00C45257" w:rsidP="00C45257">
            <w:pPr>
              <w:jc w:val="center"/>
              <w:rPr>
                <w:b/>
                <w:sz w:val="16"/>
                <w:szCs w:val="16"/>
              </w:rPr>
            </w:pPr>
            <w:r w:rsidRPr="00C45257">
              <w:rPr>
                <w:b/>
                <w:sz w:val="16"/>
                <w:szCs w:val="16"/>
              </w:rPr>
              <w:t>-1595,9</w:t>
            </w:r>
          </w:p>
        </w:tc>
        <w:tc>
          <w:tcPr>
            <w:tcW w:w="1134" w:type="dxa"/>
            <w:vAlign w:val="center"/>
          </w:tcPr>
          <w:p w:rsidR="00C45257" w:rsidRPr="00C45257" w:rsidRDefault="00C45257" w:rsidP="00C45257">
            <w:pPr>
              <w:jc w:val="center"/>
              <w:rPr>
                <w:b/>
                <w:sz w:val="16"/>
                <w:szCs w:val="16"/>
              </w:rPr>
            </w:pPr>
            <w:r w:rsidRPr="00C45257">
              <w:rPr>
                <w:b/>
                <w:sz w:val="16"/>
                <w:szCs w:val="16"/>
              </w:rPr>
              <w:t>36,7</w:t>
            </w:r>
          </w:p>
        </w:tc>
        <w:tc>
          <w:tcPr>
            <w:tcW w:w="1098" w:type="dxa"/>
            <w:vAlign w:val="center"/>
          </w:tcPr>
          <w:p w:rsidR="00C45257" w:rsidRPr="008C792C" w:rsidRDefault="00773BA2" w:rsidP="00BC5359">
            <w:pPr>
              <w:widowControl w:val="0"/>
              <w:numPr>
                <w:ilvl w:val="12"/>
                <w:numId w:val="0"/>
              </w:numPr>
              <w:jc w:val="center"/>
              <w:rPr>
                <w:b/>
                <w:sz w:val="16"/>
                <w:szCs w:val="16"/>
              </w:rPr>
            </w:pPr>
            <w:r>
              <w:rPr>
                <w:b/>
                <w:sz w:val="16"/>
                <w:szCs w:val="16"/>
              </w:rPr>
              <w:t>18,2</w:t>
            </w:r>
          </w:p>
        </w:tc>
      </w:tr>
      <w:tr w:rsidR="00C45257" w:rsidRPr="002A072A" w:rsidTr="00C45257">
        <w:tc>
          <w:tcPr>
            <w:tcW w:w="4219" w:type="dxa"/>
          </w:tcPr>
          <w:p w:rsidR="00C45257" w:rsidRPr="00BC5359" w:rsidRDefault="00C45257"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C45257" w:rsidRPr="00BC5359" w:rsidRDefault="00C45257" w:rsidP="006D30B0">
            <w:pPr>
              <w:widowControl w:val="0"/>
              <w:numPr>
                <w:ilvl w:val="12"/>
                <w:numId w:val="0"/>
              </w:numPr>
              <w:jc w:val="center"/>
              <w:rPr>
                <w:b/>
                <w:sz w:val="16"/>
                <w:szCs w:val="16"/>
              </w:rPr>
            </w:pPr>
            <w:r>
              <w:rPr>
                <w:b/>
                <w:sz w:val="16"/>
                <w:szCs w:val="16"/>
              </w:rPr>
              <w:t>0,1</w:t>
            </w:r>
          </w:p>
        </w:tc>
        <w:tc>
          <w:tcPr>
            <w:tcW w:w="1134" w:type="dxa"/>
            <w:vAlign w:val="center"/>
          </w:tcPr>
          <w:p w:rsidR="00C45257" w:rsidRPr="00BC5359" w:rsidRDefault="00C45257" w:rsidP="00DB5C6B">
            <w:pPr>
              <w:widowControl w:val="0"/>
              <w:numPr>
                <w:ilvl w:val="12"/>
                <w:numId w:val="0"/>
              </w:numPr>
              <w:jc w:val="center"/>
              <w:rPr>
                <w:b/>
                <w:sz w:val="16"/>
                <w:szCs w:val="16"/>
              </w:rPr>
            </w:pPr>
            <w:r>
              <w:rPr>
                <w:b/>
                <w:sz w:val="16"/>
                <w:szCs w:val="16"/>
              </w:rPr>
              <w:t>0,1</w:t>
            </w:r>
          </w:p>
        </w:tc>
        <w:tc>
          <w:tcPr>
            <w:tcW w:w="1134" w:type="dxa"/>
            <w:vAlign w:val="center"/>
          </w:tcPr>
          <w:p w:rsidR="00C45257" w:rsidRPr="00C45257" w:rsidRDefault="00C45257" w:rsidP="00C45257">
            <w:pPr>
              <w:jc w:val="center"/>
              <w:rPr>
                <w:b/>
                <w:sz w:val="16"/>
                <w:szCs w:val="16"/>
              </w:rPr>
            </w:pPr>
            <w:r w:rsidRPr="00C45257">
              <w:rPr>
                <w:b/>
                <w:sz w:val="16"/>
                <w:szCs w:val="16"/>
              </w:rPr>
              <w:t>0</w:t>
            </w:r>
          </w:p>
        </w:tc>
        <w:tc>
          <w:tcPr>
            <w:tcW w:w="1134" w:type="dxa"/>
            <w:vAlign w:val="center"/>
          </w:tcPr>
          <w:p w:rsidR="00C45257" w:rsidRPr="00C45257" w:rsidRDefault="00C45257" w:rsidP="00C45257">
            <w:pPr>
              <w:jc w:val="center"/>
              <w:rPr>
                <w:b/>
                <w:sz w:val="16"/>
                <w:szCs w:val="16"/>
              </w:rPr>
            </w:pPr>
            <w:r w:rsidRPr="00C45257">
              <w:rPr>
                <w:b/>
                <w:sz w:val="16"/>
                <w:szCs w:val="16"/>
              </w:rPr>
              <w:t>100</w:t>
            </w:r>
          </w:p>
        </w:tc>
        <w:tc>
          <w:tcPr>
            <w:tcW w:w="1098" w:type="dxa"/>
            <w:vAlign w:val="center"/>
          </w:tcPr>
          <w:p w:rsidR="00C45257" w:rsidRPr="00BC5359" w:rsidRDefault="00773BA2" w:rsidP="00DB5C6B">
            <w:pPr>
              <w:widowControl w:val="0"/>
              <w:numPr>
                <w:ilvl w:val="12"/>
                <w:numId w:val="0"/>
              </w:numPr>
              <w:jc w:val="center"/>
              <w:rPr>
                <w:b/>
                <w:sz w:val="16"/>
                <w:szCs w:val="16"/>
              </w:rPr>
            </w:pPr>
            <w:r>
              <w:rPr>
                <w:b/>
                <w:sz w:val="16"/>
                <w:szCs w:val="16"/>
              </w:rPr>
              <w:t>-</w:t>
            </w:r>
          </w:p>
        </w:tc>
      </w:tr>
      <w:tr w:rsidR="00C45257" w:rsidRPr="002A072A" w:rsidTr="00C45257">
        <w:tc>
          <w:tcPr>
            <w:tcW w:w="4219" w:type="dxa"/>
          </w:tcPr>
          <w:p w:rsidR="00C45257" w:rsidRPr="00DB5C6B" w:rsidRDefault="00C45257"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800,5</w:t>
            </w:r>
          </w:p>
        </w:tc>
        <w:tc>
          <w:tcPr>
            <w:tcW w:w="1134" w:type="dxa"/>
            <w:vAlign w:val="center"/>
          </w:tcPr>
          <w:p w:rsidR="00C45257" w:rsidRPr="00601AE1" w:rsidRDefault="00C45257" w:rsidP="00DB5C6B">
            <w:pPr>
              <w:widowControl w:val="0"/>
              <w:numPr>
                <w:ilvl w:val="12"/>
                <w:numId w:val="0"/>
              </w:numPr>
              <w:jc w:val="center"/>
              <w:rPr>
                <w:b/>
                <w:sz w:val="16"/>
                <w:szCs w:val="16"/>
              </w:rPr>
            </w:pPr>
            <w:r>
              <w:rPr>
                <w:b/>
                <w:sz w:val="16"/>
                <w:szCs w:val="16"/>
              </w:rPr>
              <w:t>900,7</w:t>
            </w:r>
          </w:p>
        </w:tc>
        <w:tc>
          <w:tcPr>
            <w:tcW w:w="1134" w:type="dxa"/>
            <w:vAlign w:val="center"/>
          </w:tcPr>
          <w:p w:rsidR="00C45257" w:rsidRPr="00C45257" w:rsidRDefault="00C45257" w:rsidP="00C45257">
            <w:pPr>
              <w:jc w:val="center"/>
              <w:rPr>
                <w:b/>
                <w:sz w:val="16"/>
                <w:szCs w:val="16"/>
              </w:rPr>
            </w:pPr>
            <w:r w:rsidRPr="00C45257">
              <w:rPr>
                <w:b/>
                <w:sz w:val="16"/>
                <w:szCs w:val="16"/>
              </w:rPr>
              <w:t>100,2</w:t>
            </w:r>
          </w:p>
        </w:tc>
        <w:tc>
          <w:tcPr>
            <w:tcW w:w="1134" w:type="dxa"/>
            <w:vAlign w:val="center"/>
          </w:tcPr>
          <w:p w:rsidR="00C45257" w:rsidRPr="00C45257" w:rsidRDefault="00C45257" w:rsidP="00C45257">
            <w:pPr>
              <w:jc w:val="center"/>
              <w:rPr>
                <w:b/>
                <w:sz w:val="16"/>
                <w:szCs w:val="16"/>
              </w:rPr>
            </w:pPr>
            <w:r w:rsidRPr="00C45257">
              <w:rPr>
                <w:b/>
                <w:sz w:val="16"/>
                <w:szCs w:val="16"/>
              </w:rPr>
              <w:t>112,5</w:t>
            </w:r>
          </w:p>
        </w:tc>
        <w:tc>
          <w:tcPr>
            <w:tcW w:w="1098" w:type="dxa"/>
            <w:vAlign w:val="center"/>
          </w:tcPr>
          <w:p w:rsidR="00C45257" w:rsidRPr="00DB5C6B" w:rsidRDefault="00773BA2" w:rsidP="00DB5C6B">
            <w:pPr>
              <w:widowControl w:val="0"/>
              <w:numPr>
                <w:ilvl w:val="12"/>
                <w:numId w:val="0"/>
              </w:numPr>
              <w:jc w:val="center"/>
              <w:rPr>
                <w:b/>
                <w:sz w:val="16"/>
                <w:szCs w:val="16"/>
              </w:rPr>
            </w:pPr>
            <w:r>
              <w:rPr>
                <w:b/>
                <w:sz w:val="16"/>
                <w:szCs w:val="16"/>
              </w:rPr>
              <w:t>17,7</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 xml:space="preserve">в 2022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EC4A96">
        <w:t>2579,9</w:t>
      </w:r>
      <w:r w:rsidR="00A22562">
        <w:t xml:space="preserve"> тыс. рублей (или </w:t>
      </w:r>
      <w:r w:rsidR="00EC4A96">
        <w:t>50,8</w:t>
      </w:r>
      <w:r w:rsidRPr="006B68FA">
        <w:t>%</w:t>
      </w:r>
      <w:r w:rsidR="00A22562">
        <w:t>)</w:t>
      </w:r>
      <w:r w:rsidRPr="006B68FA">
        <w:t xml:space="preserve">, </w:t>
      </w:r>
      <w:r>
        <w:t>«Культура, кинематография</w:t>
      </w:r>
      <w:r w:rsidRPr="004F6FB5">
        <w:t>»</w:t>
      </w:r>
      <w:r w:rsidR="00663C5C">
        <w:t xml:space="preserve"> </w:t>
      </w:r>
      <w:r w:rsidR="00A22562">
        <w:t>–</w:t>
      </w:r>
      <w:r>
        <w:t xml:space="preserve"> </w:t>
      </w:r>
      <w:r w:rsidR="00EC4A96">
        <w:t>924,1</w:t>
      </w:r>
      <w:r w:rsidR="00A22562">
        <w:t xml:space="preserve"> тыс. рублей (или </w:t>
      </w:r>
      <w:r w:rsidR="00EC4A96">
        <w:t>18,2</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F941EB">
        <w:rPr>
          <w:rFonts w:ascii="Times New Roman" w:hAnsi="Times New Roman"/>
        </w:rPr>
        <w:t>2</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F941EB">
        <w:rPr>
          <w:rFonts w:ascii="Times New Roman" w:hAnsi="Times New Roman"/>
        </w:rPr>
        <w:t>1</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EC4A96">
        <w:rPr>
          <w:rFonts w:ascii="Times New Roman" w:hAnsi="Times New Roman"/>
        </w:rPr>
        <w:t>трем</w:t>
      </w:r>
      <w:r w:rsidRPr="00283264">
        <w:rPr>
          <w:rFonts w:ascii="Times New Roman" w:hAnsi="Times New Roman"/>
        </w:rPr>
        <w:t xml:space="preserve"> из </w:t>
      </w:r>
      <w:r w:rsidR="00EC4A96">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F941EB">
        <w:rPr>
          <w:rFonts w:ascii="Times New Roman" w:hAnsi="Times New Roman"/>
          <w:snapToGrid w:val="0"/>
        </w:rPr>
        <w:t>6,1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F941EB">
        <w:rPr>
          <w:rFonts w:ascii="Times New Roman" w:hAnsi="Times New Roman"/>
          <w:snapToGrid w:val="0"/>
        </w:rPr>
        <w:t>104,4</w:t>
      </w:r>
      <w:r w:rsidR="0084197B">
        <w:rPr>
          <w:rFonts w:ascii="Times New Roman" w:hAnsi="Times New Roman"/>
          <w:snapToGrid w:val="0"/>
        </w:rPr>
        <w:t>%),</w:t>
      </w:r>
      <w:r w:rsidR="00F941EB">
        <w:rPr>
          <w:rFonts w:ascii="Times New Roman" w:hAnsi="Times New Roman"/>
          <w:snapToGrid w:val="0"/>
        </w:rPr>
        <w:t xml:space="preserve"> «Жилищно-коммунальное хозяйство» - на </w:t>
      </w:r>
      <w:r w:rsidR="00EC4A96">
        <w:rPr>
          <w:rFonts w:ascii="Times New Roman" w:hAnsi="Times New Roman"/>
          <w:snapToGrid w:val="0"/>
        </w:rPr>
        <w:t>152,7</w:t>
      </w:r>
      <w:r w:rsidR="00F941EB">
        <w:rPr>
          <w:rFonts w:ascii="Times New Roman" w:hAnsi="Times New Roman"/>
          <w:snapToGrid w:val="0"/>
        </w:rPr>
        <w:t xml:space="preserve"> тыс. руб. (рост </w:t>
      </w:r>
      <w:r w:rsidR="00EC4A96">
        <w:rPr>
          <w:rFonts w:ascii="Times New Roman" w:hAnsi="Times New Roman"/>
          <w:snapToGrid w:val="0"/>
        </w:rPr>
        <w:t>326,9</w:t>
      </w:r>
      <w:r w:rsidR="00B91242">
        <w:rPr>
          <w:rFonts w:ascii="Times New Roman" w:hAnsi="Times New Roman"/>
          <w:snapToGrid w:val="0"/>
        </w:rPr>
        <w:t>%)</w:t>
      </w:r>
      <w:r w:rsidR="00EC4A96">
        <w:rPr>
          <w:rFonts w:ascii="Times New Roman" w:hAnsi="Times New Roman"/>
          <w:snapToGrid w:val="0"/>
        </w:rPr>
        <w:t>, «МБТ» - на 100,2 тыс. руб. (рост 112,5%)</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BD020E">
        <w:t>2</w:t>
      </w:r>
      <w:r w:rsidRPr="00595634">
        <w:t xml:space="preserve"> г. установлены в объеме </w:t>
      </w:r>
      <w:r w:rsidR="00DE0B51">
        <w:t>2579,9</w:t>
      </w:r>
      <w:r w:rsidRPr="00595634">
        <w:t xml:space="preserve"> тыс.руб., </w:t>
      </w:r>
      <w:r w:rsidR="00DC2F83">
        <w:t>со снижением</w:t>
      </w:r>
      <w:r w:rsidRPr="00595634">
        <w:t xml:space="preserve"> на </w:t>
      </w:r>
      <w:r w:rsidR="00DE0B51">
        <w:t>751,8</w:t>
      </w:r>
      <w:r w:rsidRPr="00595634">
        <w:t xml:space="preserve"> тыс.руб. </w:t>
      </w:r>
      <w:r w:rsidR="00B931F8" w:rsidRPr="00595634">
        <w:t>(-</w:t>
      </w:r>
      <w:r w:rsidR="00DE0B51">
        <w:t>22,6</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8715F5">
        <w:t>1</w:t>
      </w:r>
      <w:r w:rsidRPr="00595634">
        <w:t xml:space="preserve">г. Данные расходы составляют </w:t>
      </w:r>
      <w:r w:rsidR="00DE0B51">
        <w:t>50,8</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8715F5">
        <w:t>2</w:t>
      </w:r>
      <w:r w:rsidRPr="00595634">
        <w:t>г</w:t>
      </w:r>
      <w:r w:rsidR="008715F5">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1D1F44">
        <w:t>Усть-Илгинского</w:t>
      </w:r>
      <w:r w:rsidR="0000549E">
        <w:t xml:space="preserve"> сельского поселения</w:t>
      </w:r>
      <w:r w:rsidRPr="00895EC4">
        <w:t xml:space="preserve"> расходы объединены по </w:t>
      </w:r>
      <w:r w:rsidR="00D92996">
        <w:t xml:space="preserve">шести </w:t>
      </w:r>
      <w:r w:rsidR="00C15EE2">
        <w:t>подразделам:</w:t>
      </w:r>
      <w:r w:rsidRPr="00895EC4">
        <w:t xml:space="preserve"> </w:t>
      </w:r>
    </w:p>
    <w:p w:rsidR="00B40168" w:rsidRPr="00895EC4" w:rsidRDefault="00745D94" w:rsidP="00B40168">
      <w:pPr>
        <w:widowControl w:val="0"/>
        <w:numPr>
          <w:ilvl w:val="12"/>
          <w:numId w:val="0"/>
        </w:num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53219B">
        <w:t>2</w:t>
      </w:r>
      <w:r w:rsidRPr="00895EC4">
        <w:t xml:space="preserve"> г</w:t>
      </w:r>
      <w:r>
        <w:t>од установлены</w:t>
      </w:r>
      <w:r w:rsidRPr="00895EC4">
        <w:t xml:space="preserve"> расходы на обеспечение деятельности главы </w:t>
      </w:r>
      <w:r w:rsidR="001D1F44">
        <w:t>Усть-Илгинского</w:t>
      </w:r>
      <w:r w:rsidR="0000549E">
        <w:t xml:space="preserve"> сельского поселения</w:t>
      </w:r>
      <w:r w:rsidRPr="00895EC4">
        <w:t xml:space="preserve"> в сумме </w:t>
      </w:r>
      <w:r w:rsidR="00DE0B51">
        <w:t>690</w:t>
      </w:r>
      <w:r w:rsidR="004E4D52">
        <w:t xml:space="preserve"> </w:t>
      </w:r>
      <w:r w:rsidRPr="00895EC4">
        <w:t>тыс.руб.</w:t>
      </w:r>
      <w:r w:rsidR="00E53E0C">
        <w:t>,</w:t>
      </w:r>
      <w:r w:rsidR="006469FD">
        <w:t xml:space="preserve"> </w:t>
      </w:r>
      <w:r>
        <w:t>с</w:t>
      </w:r>
      <w:r w:rsidR="00F74BD4">
        <w:t>о</w:t>
      </w:r>
      <w:r>
        <w:t xml:space="preserve"> </w:t>
      </w:r>
      <w:r w:rsidR="00F74BD4">
        <w:t>снижением</w:t>
      </w:r>
      <w:r w:rsidRPr="00895EC4">
        <w:t xml:space="preserve"> на </w:t>
      </w:r>
      <w:r w:rsidR="00DE0B51">
        <w:t>135</w:t>
      </w:r>
      <w:r w:rsidR="0071451C">
        <w:t xml:space="preserve"> </w:t>
      </w:r>
      <w:r w:rsidRPr="00895EC4">
        <w:t>тыс.руб. (</w:t>
      </w:r>
      <w:r w:rsidR="00F74BD4">
        <w:t>-</w:t>
      </w:r>
      <w:r w:rsidR="00DE0B51">
        <w:t>16,4</w:t>
      </w:r>
      <w:r w:rsidRPr="00895EC4">
        <w:t>%)</w:t>
      </w:r>
      <w:r>
        <w:t xml:space="preserve"> к оценке ожидаемого исполнения расходов в 20</w:t>
      </w:r>
      <w:r w:rsidR="00F74BD4">
        <w:t>2</w:t>
      </w:r>
      <w:r w:rsidR="0053219B">
        <w:t>1</w:t>
      </w:r>
      <w:r>
        <w:t xml:space="preserve"> году</w:t>
      </w:r>
      <w:r w:rsidR="00F74BD4">
        <w:t xml:space="preserve">. </w:t>
      </w:r>
      <w:r w:rsidR="00B40168" w:rsidRPr="00595634">
        <w:t xml:space="preserve">Данные расходы составляют </w:t>
      </w:r>
      <w:r w:rsidR="00DE0B51">
        <w:t>13,6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E0B51">
        <w:t>26,7</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1D1F44">
        <w:t>Усть-Илгинского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3A2337">
        <w:t>2</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t>,0</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625D7E">
        <w:t>1</w:t>
      </w:r>
      <w:r>
        <w:t xml:space="preserve"> году</w:t>
      </w:r>
      <w:r w:rsidRPr="00895EC4">
        <w:t xml:space="preserve">. </w:t>
      </w:r>
      <w:r w:rsidR="00B40168" w:rsidRPr="00595634">
        <w:t xml:space="preserve">Данные расходы составляют </w:t>
      </w:r>
      <w:r w:rsidR="00B40168">
        <w:t>0,0</w:t>
      </w:r>
      <w:r w:rsidR="00DE0B51">
        <w:t>2</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DE0B51">
        <w:t>4</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1D1F44">
        <w:t>Усть-Илгинского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5C3023">
        <w:t>2</w:t>
      </w:r>
      <w:r w:rsidRPr="00895EC4">
        <w:t xml:space="preserve"> г. в </w:t>
      </w:r>
      <w:r>
        <w:t>сумме</w:t>
      </w:r>
      <w:r w:rsidRPr="00895EC4">
        <w:t xml:space="preserve"> </w:t>
      </w:r>
      <w:r w:rsidR="00DE0B51">
        <w:t>1733,2</w:t>
      </w:r>
      <w:r w:rsidR="005C516D">
        <w:t xml:space="preserve"> </w:t>
      </w:r>
      <w:r w:rsidRPr="00895EC4">
        <w:t xml:space="preserve">тыс. руб., </w:t>
      </w:r>
      <w:r w:rsidR="005C3023">
        <w:t>со</w:t>
      </w:r>
      <w:r w:rsidRPr="00895EC4">
        <w:t xml:space="preserve"> </w:t>
      </w:r>
      <w:r w:rsidR="005C3023">
        <w:t>снижением к уровню</w:t>
      </w:r>
      <w:r w:rsidRPr="00895EC4">
        <w:t xml:space="preserve"> </w:t>
      </w:r>
      <w:r>
        <w:t xml:space="preserve">ожидаемого исполнения </w:t>
      </w:r>
      <w:r w:rsidRPr="00895EC4">
        <w:t>расходов 20</w:t>
      </w:r>
      <w:r w:rsidR="00AD1D8D">
        <w:t>2</w:t>
      </w:r>
      <w:r w:rsidR="005C3023">
        <w:t>1</w:t>
      </w:r>
      <w:r w:rsidRPr="00895EC4">
        <w:t xml:space="preserve"> г</w:t>
      </w:r>
      <w:r>
        <w:t>ода</w:t>
      </w:r>
      <w:r w:rsidRPr="00895EC4">
        <w:t xml:space="preserve"> на </w:t>
      </w:r>
      <w:r w:rsidR="00DE0B51">
        <w:t xml:space="preserve">766,8 </w:t>
      </w:r>
      <w:r w:rsidRPr="00895EC4">
        <w:t>тыс.руб. (</w:t>
      </w:r>
      <w:r w:rsidR="003A2337">
        <w:t>-</w:t>
      </w:r>
      <w:r w:rsidR="00DE0B51">
        <w:t>30,7</w:t>
      </w:r>
      <w:r w:rsidRPr="00895EC4">
        <w:t xml:space="preserve">%). </w:t>
      </w:r>
      <w:r w:rsidR="00B40168" w:rsidRPr="00595634">
        <w:t xml:space="preserve">Данные расходы составляют </w:t>
      </w:r>
      <w:r w:rsidR="00DE0B51">
        <w:t>34,1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E0B51">
        <w:t>67,2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463AB1" w:rsidP="00B40168">
      <w:pPr>
        <w:widowControl w:val="0"/>
        <w:numPr>
          <w:ilvl w:val="12"/>
          <w:numId w:val="0"/>
        </w:numPr>
        <w:ind w:firstLine="567"/>
        <w:jc w:val="both"/>
      </w:pPr>
      <w:r w:rsidRPr="00E82948">
        <w:rPr>
          <w:i/>
        </w:rPr>
        <w:t>По подразделу 0107 «Обеспечение проведения выборов и референдумов»</w:t>
      </w:r>
      <w:r w:rsidRPr="00E82948">
        <w:t xml:space="preserve"> предусмотрены бюджетные ассигнования в объеме </w:t>
      </w:r>
      <w:r w:rsidR="00DE0B51">
        <w:rPr>
          <w:bCs/>
        </w:rPr>
        <w:t>150</w:t>
      </w:r>
      <w:r w:rsidRPr="00E82948">
        <w:t xml:space="preserve"> тыс. рублей на проведение выборов главы </w:t>
      </w:r>
      <w:r w:rsidR="005C3023">
        <w:t xml:space="preserve">и думы </w:t>
      </w:r>
      <w:r w:rsidRPr="00E82948">
        <w:t>поселения</w:t>
      </w:r>
      <w:r>
        <w:t xml:space="preserve"> в 2022 году</w:t>
      </w:r>
      <w:r w:rsidRPr="00E82948">
        <w:t>.</w:t>
      </w:r>
      <w:r w:rsidR="00B40168" w:rsidRPr="00B40168">
        <w:t xml:space="preserve"> </w:t>
      </w:r>
      <w:r w:rsidR="00B40168" w:rsidRPr="00595634">
        <w:t xml:space="preserve">Данные расходы составляют </w:t>
      </w:r>
      <w:r w:rsidR="00DE0B51">
        <w:t>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E0B51">
        <w:t>5,8</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1D1F44">
        <w:rPr>
          <w:bCs/>
        </w:rPr>
        <w:t>Усть-Илгинского</w:t>
      </w:r>
      <w:r w:rsidR="0000549E">
        <w:rPr>
          <w:bCs/>
        </w:rPr>
        <w:t xml:space="preserve"> сельского поселения</w:t>
      </w:r>
      <w:r>
        <w:t xml:space="preserve"> на 20</w:t>
      </w:r>
      <w:r w:rsidR="003E78ED">
        <w:t>2</w:t>
      </w:r>
      <w:r w:rsidR="00227333">
        <w:t>2</w:t>
      </w:r>
      <w:r w:rsidR="00A315C2">
        <w:t xml:space="preserve"> год </w:t>
      </w:r>
      <w:r w:rsidRPr="000A7F43">
        <w:t xml:space="preserve">в сумме </w:t>
      </w:r>
      <w:r w:rsidR="00DE0B51">
        <w:t>5</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0,1</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DE0B51">
        <w:t>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DD256E">
        <w:rPr>
          <w:i/>
        </w:rPr>
        <w:t xml:space="preserve">По подразделу 0113 «Другие общегосударственные вопросы» </w:t>
      </w:r>
      <w:r w:rsidRPr="00DD256E">
        <w:t>на 20</w:t>
      </w:r>
      <w:r w:rsidR="00FB3BD8">
        <w:t>2</w:t>
      </w:r>
      <w:r w:rsidR="008A5EBB">
        <w:t>2</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227333">
        <w:t>1</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DE0B51">
        <w:t>3</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227333">
        <w:t>2</w:t>
      </w:r>
      <w:r w:rsidR="005944C6" w:rsidRPr="00595634">
        <w:t xml:space="preserve"> г. установлены в объеме </w:t>
      </w:r>
      <w:r w:rsidR="00227333">
        <w:t>143,4</w:t>
      </w:r>
      <w:r w:rsidR="005944C6" w:rsidRPr="00595634">
        <w:t xml:space="preserve"> тыс.руб., </w:t>
      </w:r>
      <w:r w:rsidR="00227333">
        <w:t>с ростом</w:t>
      </w:r>
      <w:r w:rsidR="005944C6" w:rsidRPr="00595634">
        <w:t xml:space="preserve"> на </w:t>
      </w:r>
      <w:r w:rsidR="00227333">
        <w:t>6,1</w:t>
      </w:r>
      <w:r w:rsidR="005944C6" w:rsidRPr="00595634">
        <w:t xml:space="preserve"> тыс.руб. </w:t>
      </w:r>
      <w:r w:rsidR="005944C6">
        <w:t>(+</w:t>
      </w:r>
      <w:r w:rsidR="00227333">
        <w:t>4,4</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227333">
        <w:t>1</w:t>
      </w:r>
      <w:r w:rsidR="005944C6" w:rsidRPr="00595634">
        <w:t xml:space="preserve"> г. Данные расходы составляют </w:t>
      </w:r>
      <w:r w:rsidR="00DE0B51">
        <w:t>2,8</w:t>
      </w:r>
      <w:r w:rsidR="005944C6" w:rsidRPr="00595634">
        <w:t xml:space="preserve">% от общей суммы расходов </w:t>
      </w:r>
      <w:r w:rsidR="005944C6">
        <w:t xml:space="preserve">местного </w:t>
      </w:r>
      <w:r w:rsidR="005944C6" w:rsidRPr="00595634">
        <w:t>бюджета на 20</w:t>
      </w:r>
      <w:r w:rsidR="005944C6">
        <w:t>2</w:t>
      </w:r>
      <w:r w:rsidR="00227333">
        <w:t>2</w:t>
      </w:r>
      <w:r w:rsidR="005944C6" w:rsidRPr="00595634">
        <w:t xml:space="preserve"> г.</w:t>
      </w:r>
      <w:r w:rsidR="005944C6" w:rsidRPr="00895EC4">
        <w:t xml:space="preserve"> </w:t>
      </w:r>
    </w:p>
    <w:p w:rsidR="00FB4726" w:rsidRDefault="00BA0EC3" w:rsidP="00BA0EC3">
      <w:pPr>
        <w:autoSpaceDE w:val="0"/>
        <w:autoSpaceDN w:val="0"/>
        <w:adjustRightInd w:val="0"/>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Pr="00895EC4">
        <w:t xml:space="preserve">расходы </w:t>
      </w:r>
      <w:r>
        <w:t>на</w:t>
      </w:r>
      <w:r w:rsidRPr="00895EC4">
        <w:t xml:space="preserve"> 20</w:t>
      </w:r>
      <w:r>
        <w:t>2</w:t>
      </w:r>
      <w:r w:rsidR="003D2D64">
        <w:t>2</w:t>
      </w:r>
      <w:r w:rsidRPr="00895EC4">
        <w:t xml:space="preserve"> г. </w:t>
      </w:r>
      <w:r>
        <w:t xml:space="preserve">установлены в сумме </w:t>
      </w:r>
      <w:r w:rsidR="00215DD6">
        <w:t>4</w:t>
      </w:r>
      <w:r>
        <w:t xml:space="preserve"> тыс. руб., со снижением</w:t>
      </w:r>
      <w:r w:rsidRPr="00895EC4">
        <w:t xml:space="preserve"> на </w:t>
      </w:r>
      <w:r w:rsidR="00DE0B51">
        <w:t>80,2</w:t>
      </w:r>
      <w:r w:rsidRPr="00895EC4">
        <w:t xml:space="preserve"> тыс.руб. (</w:t>
      </w:r>
      <w:r>
        <w:t>-</w:t>
      </w:r>
      <w:r w:rsidR="00DE0B51">
        <w:t>95,2</w:t>
      </w:r>
      <w:r>
        <w:t>%</w:t>
      </w:r>
      <w:r w:rsidRPr="00895EC4">
        <w:t>)</w:t>
      </w:r>
      <w:r>
        <w:t xml:space="preserve"> к оценке </w:t>
      </w:r>
      <w:r w:rsidR="003D2D64">
        <w:t xml:space="preserve">исполнения </w:t>
      </w:r>
      <w:r>
        <w:t>202</w:t>
      </w:r>
      <w:r w:rsidR="003D2D64">
        <w:t>1</w:t>
      </w:r>
      <w:r>
        <w:t xml:space="preserve"> года</w:t>
      </w:r>
      <w:r w:rsidRPr="00895EC4">
        <w:t xml:space="preserve">. Данные расходы составляют </w:t>
      </w:r>
      <w:r w:rsidR="00215DD6">
        <w:t>0,</w:t>
      </w:r>
      <w:r w:rsidR="00DE0B51">
        <w:t>08</w:t>
      </w:r>
      <w:r w:rsidRPr="00895EC4">
        <w:t xml:space="preserve">% от общей суммы расходов </w:t>
      </w:r>
      <w:r>
        <w:t xml:space="preserve">местного </w:t>
      </w:r>
      <w:r w:rsidRPr="00895EC4">
        <w:t>бюджета на 20</w:t>
      </w:r>
      <w:r>
        <w:t>2</w:t>
      </w:r>
      <w:r w:rsidR="003D2D64">
        <w:t>2</w:t>
      </w:r>
      <w:r w:rsidRPr="00895EC4">
        <w:t xml:space="preserve"> г</w:t>
      </w:r>
      <w:r>
        <w:t>од</w:t>
      </w:r>
      <w:r w:rsidR="00FB4726">
        <w:t>.</w:t>
      </w:r>
    </w:p>
    <w:p w:rsidR="00E63E36" w:rsidRPr="00651E43" w:rsidRDefault="00E63E36" w:rsidP="00BA0EC3">
      <w:pPr>
        <w:autoSpaceDE w:val="0"/>
        <w:autoSpaceDN w:val="0"/>
        <w:adjustRightInd w:val="0"/>
        <w:ind w:firstLine="567"/>
        <w:jc w:val="both"/>
        <w:rPr>
          <w:i/>
        </w:rPr>
      </w:pPr>
      <w:r>
        <w:t xml:space="preserve">По подразделу 0309 « Гражданская оборона» предусмотрены расходы в сумме 1 тыс. руб. </w:t>
      </w:r>
      <w:r w:rsidRPr="00651E43">
        <w:rPr>
          <w:i/>
        </w:rPr>
        <w:t>(</w:t>
      </w:r>
      <w:r w:rsidR="00651E43" w:rsidRPr="00651E43">
        <w:rPr>
          <w:i/>
        </w:rPr>
        <w:t xml:space="preserve">КСК района отмечает, что </w:t>
      </w:r>
      <w:r w:rsidRPr="00651E43">
        <w:rPr>
          <w:i/>
        </w:rPr>
        <w:t>цель направления средств не раскрыта в Пояснительной записке)</w:t>
      </w:r>
      <w:r w:rsidR="00651E43" w:rsidRPr="00651E43">
        <w:rPr>
          <w:i/>
        </w:rPr>
        <w:t>.</w:t>
      </w:r>
    </w:p>
    <w:p w:rsidR="00FB4726" w:rsidRDefault="00FB4726" w:rsidP="00FB4726">
      <w:pPr>
        <w:widowControl w:val="0"/>
        <w:numPr>
          <w:ilvl w:val="12"/>
          <w:numId w:val="0"/>
        </w:numPr>
        <w:ind w:firstLine="567"/>
        <w:jc w:val="both"/>
      </w:pPr>
      <w:r w:rsidRPr="00E63E36">
        <w:t xml:space="preserve">По подразделу 0310 «Защита населения и территории от чрезвычайных ситуаций природного и техногенного характера, пожарная безопасность» </w:t>
      </w:r>
      <w:r>
        <w:t xml:space="preserve">предусмотрены </w:t>
      </w:r>
      <w:r w:rsidR="00215DD6">
        <w:t xml:space="preserve">в целях реализации мероприятий муниципальной программы «Обеспечение пожарной безопасности </w:t>
      </w:r>
      <w:r>
        <w:t xml:space="preserve">на территории </w:t>
      </w:r>
      <w:r w:rsidR="001D1F44">
        <w:t>Усть-Илгинского</w:t>
      </w:r>
      <w:r w:rsidR="00215DD6">
        <w:t xml:space="preserve"> сельского поселения на 202</w:t>
      </w:r>
      <w:r>
        <w:t>1</w:t>
      </w:r>
      <w:r w:rsidR="00215DD6">
        <w:t>-202</w:t>
      </w:r>
      <w:r>
        <w:t>4</w:t>
      </w:r>
      <w:r w:rsidR="00215DD6">
        <w:t xml:space="preserve"> годы»</w:t>
      </w:r>
      <w:r w:rsidR="00BA0EC3" w:rsidRPr="00895EC4">
        <w:t>.</w:t>
      </w:r>
      <w:r w:rsidR="00215DD6">
        <w:t xml:space="preserve"> </w:t>
      </w:r>
    </w:p>
    <w:p w:rsidR="00BA0EC3" w:rsidRPr="00FB4726" w:rsidRDefault="00FB4726" w:rsidP="00FB4726">
      <w:pPr>
        <w:widowControl w:val="0"/>
        <w:numPr>
          <w:ilvl w:val="12"/>
          <w:numId w:val="0"/>
        </w:numPr>
        <w:ind w:firstLine="567"/>
        <w:jc w:val="both"/>
        <w:rPr>
          <w:i/>
        </w:rPr>
      </w:pPr>
      <w:r w:rsidRPr="00FB4726">
        <w:rPr>
          <w:i/>
        </w:rPr>
        <w:t>КСК района отмечает, что о</w:t>
      </w:r>
      <w:r w:rsidR="00215DD6" w:rsidRPr="00FB4726">
        <w:rPr>
          <w:i/>
        </w:rPr>
        <w:t xml:space="preserve">бъемы финансирования </w:t>
      </w:r>
      <w:r w:rsidRPr="00FB4726">
        <w:rPr>
          <w:i/>
        </w:rPr>
        <w:t>в проекте бюджета (</w:t>
      </w:r>
      <w:r>
        <w:rPr>
          <w:i/>
        </w:rPr>
        <w:t>2022-202</w:t>
      </w:r>
      <w:r w:rsidRPr="00FB4726">
        <w:rPr>
          <w:i/>
        </w:rPr>
        <w:t>3</w:t>
      </w:r>
      <w:r>
        <w:rPr>
          <w:i/>
        </w:rPr>
        <w:t>гг. - 3</w:t>
      </w:r>
      <w:r w:rsidRPr="00FB4726">
        <w:rPr>
          <w:i/>
        </w:rPr>
        <w:t xml:space="preserve"> тыс. руб.</w:t>
      </w:r>
      <w:r>
        <w:rPr>
          <w:i/>
        </w:rPr>
        <w:t>, 2024г. – 5 тыс. руб.</w:t>
      </w:r>
      <w:r w:rsidRPr="00FB4726">
        <w:rPr>
          <w:i/>
        </w:rPr>
        <w:t xml:space="preserve">) не </w:t>
      </w:r>
      <w:r w:rsidR="00215DD6" w:rsidRPr="00FB4726">
        <w:rPr>
          <w:i/>
        </w:rPr>
        <w:t xml:space="preserve">соответствуют </w:t>
      </w:r>
      <w:r>
        <w:rPr>
          <w:i/>
        </w:rPr>
        <w:t xml:space="preserve">объемам финансирования по </w:t>
      </w:r>
      <w:r w:rsidR="00215DD6" w:rsidRPr="00FB4726">
        <w:rPr>
          <w:i/>
        </w:rPr>
        <w:t>паспорту муниципальной программы</w:t>
      </w:r>
      <w:r w:rsidR="001757B9" w:rsidRPr="00FB4726">
        <w:rPr>
          <w:i/>
        </w:rPr>
        <w:t xml:space="preserve"> (2022 год – </w:t>
      </w:r>
      <w:r>
        <w:rPr>
          <w:i/>
        </w:rPr>
        <w:t>18</w:t>
      </w:r>
      <w:r w:rsidR="001757B9" w:rsidRPr="00FB4726">
        <w:rPr>
          <w:i/>
        </w:rPr>
        <w:t xml:space="preserve"> тыс. руб.</w:t>
      </w:r>
      <w:r>
        <w:rPr>
          <w:i/>
        </w:rPr>
        <w:t>, 2023г. – 60 тыс. руб., 2024г. – 18 тыс. руб.</w:t>
      </w:r>
      <w:r w:rsidR="001757B9" w:rsidRPr="00FB4726">
        <w:rPr>
          <w:i/>
        </w:rPr>
        <w:t>)</w:t>
      </w:r>
      <w:r w:rsidR="00215DD6" w:rsidRPr="00FB4726">
        <w:rPr>
          <w:i/>
        </w:rPr>
        <w:t>.</w:t>
      </w:r>
      <w:r w:rsidR="00BA0EC3" w:rsidRPr="00FB4726">
        <w:rPr>
          <w:i/>
        </w:rPr>
        <w:t xml:space="preserve"> </w:t>
      </w:r>
      <w:r w:rsidR="00E63E36">
        <w:rPr>
          <w:i/>
        </w:rPr>
        <w:t>Требуется корректировка.</w:t>
      </w:r>
    </w:p>
    <w:p w:rsidR="00745D94" w:rsidRDefault="00745D94" w:rsidP="00A5643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Pr>
          <w:u w:val="single"/>
        </w:rPr>
        <w:t xml:space="preserve"> </w:t>
      </w:r>
      <w:r w:rsidR="009520B1" w:rsidRPr="00576122">
        <w:rPr>
          <w:u w:val="single"/>
        </w:rPr>
        <w:t>подразделу 0409 «Дорожное хозяйство (дорожные фонды)»</w:t>
      </w:r>
      <w:r w:rsidR="002E1E04" w:rsidRPr="002E1E04">
        <w:t xml:space="preserve"> на </w:t>
      </w:r>
      <w:r w:rsidR="002E1E04" w:rsidRPr="00595634">
        <w:t>20</w:t>
      </w:r>
      <w:r w:rsidR="002E1E04">
        <w:t>2</w:t>
      </w:r>
      <w:r w:rsidR="00882706">
        <w:t>2</w:t>
      </w:r>
      <w:r w:rsidR="002E1E04" w:rsidRPr="00595634">
        <w:t xml:space="preserve"> г. установлены в объеме </w:t>
      </w:r>
      <w:r w:rsidR="00313FA8">
        <w:t>311,3</w:t>
      </w:r>
      <w:r w:rsidR="002E1E04" w:rsidRPr="00595634">
        <w:t xml:space="preserve"> тыс.руб., </w:t>
      </w:r>
      <w:r w:rsidR="00882706">
        <w:t>со снижением</w:t>
      </w:r>
      <w:r w:rsidR="002E1E04" w:rsidRPr="00595634">
        <w:t xml:space="preserve"> на </w:t>
      </w:r>
      <w:r w:rsidR="00313FA8">
        <w:t>662</w:t>
      </w:r>
      <w:r w:rsidR="002E1E04" w:rsidRPr="00595634">
        <w:t xml:space="preserve"> тыс.руб. </w:t>
      </w:r>
      <w:r w:rsidR="002E1E04">
        <w:t>(</w:t>
      </w:r>
      <w:r w:rsidR="009C1066">
        <w:t>-</w:t>
      </w:r>
      <w:r w:rsidR="00313FA8">
        <w:t>68</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882706">
        <w:t>1</w:t>
      </w:r>
      <w:r w:rsidR="002E1E04" w:rsidRPr="00595634">
        <w:t xml:space="preserve">г. Данные расходы составляют </w:t>
      </w:r>
      <w:r w:rsidR="00313FA8">
        <w:t>6,1</w:t>
      </w:r>
      <w:r w:rsidR="002E1E04" w:rsidRPr="00595634">
        <w:t xml:space="preserve">% от общей суммы расходов </w:t>
      </w:r>
      <w:r w:rsidR="002E1E04">
        <w:t xml:space="preserve">местного </w:t>
      </w:r>
      <w:r w:rsidR="002E1E04" w:rsidRPr="00595634">
        <w:t>бюджета на 20</w:t>
      </w:r>
      <w:r w:rsidR="002E1E04">
        <w:t>2</w:t>
      </w:r>
      <w:r w:rsidR="00882706">
        <w:t>2</w:t>
      </w:r>
      <w:r w:rsidR="002E1E04" w:rsidRPr="00595634">
        <w:t>г.</w:t>
      </w:r>
      <w:r w:rsidR="002E1E04" w:rsidRPr="00895EC4">
        <w:t xml:space="preserve"> </w:t>
      </w:r>
    </w:p>
    <w:p w:rsidR="009C1066" w:rsidRDefault="009C1066" w:rsidP="009C1066">
      <w:pPr>
        <w:widowControl w:val="0"/>
        <w:numPr>
          <w:ilvl w:val="12"/>
          <w:numId w:val="0"/>
        </w:numPr>
        <w:ind w:firstLine="567"/>
        <w:jc w:val="both"/>
        <w:rPr>
          <w:i/>
        </w:rPr>
      </w:pPr>
      <w:r>
        <w:t>Расходы за счет средств муниципального дорожного фонда направ</w:t>
      </w:r>
      <w:r w:rsidR="00882706">
        <w:t>ляются</w:t>
      </w:r>
      <w:r>
        <w:t xml:space="preserve"> на ремонт и содержание автомобильных дорог общего пользования местного значения. </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w:t>
      </w:r>
      <w:r w:rsidR="00000501">
        <w:t>2</w:t>
      </w:r>
      <w:r w:rsidR="00D92D96">
        <w:t>2</w:t>
      </w:r>
      <w:r w:rsidR="00745D94" w:rsidRPr="000D1B29">
        <w:t xml:space="preserve">г. в сумме </w:t>
      </w:r>
      <w:r w:rsidR="00313FA8">
        <w:t>220</w:t>
      </w:r>
      <w:r w:rsidR="00745D94" w:rsidRPr="000D1B29">
        <w:t xml:space="preserve"> тыс.руб., </w:t>
      </w:r>
      <w:r w:rsidR="000D1B29">
        <w:t xml:space="preserve">с </w:t>
      </w:r>
      <w:r w:rsidR="00D55A59">
        <w:t>ростом</w:t>
      </w:r>
      <w:r w:rsidR="00745D94" w:rsidRPr="000D1B29">
        <w:t xml:space="preserve"> на </w:t>
      </w:r>
      <w:r w:rsidR="00313FA8">
        <w:t>152,7</w:t>
      </w:r>
      <w:r w:rsidR="00745D94" w:rsidRPr="000D1B29">
        <w:t xml:space="preserve"> тыс. руб. (</w:t>
      </w:r>
      <w:r w:rsidR="00D55A59">
        <w:t>+</w:t>
      </w:r>
      <w:r w:rsidR="00313FA8">
        <w:t>226,9</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D55A59">
        <w:t>1</w:t>
      </w:r>
      <w:r w:rsidR="00745D94" w:rsidRPr="000D1B29">
        <w:t xml:space="preserve"> году. Данные расходы составляют </w:t>
      </w:r>
      <w:r w:rsidR="00313FA8">
        <w:t>4,3</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D55A59">
        <w:t>2</w:t>
      </w:r>
      <w:r w:rsidR="00745D94" w:rsidRPr="00895EC4">
        <w:t xml:space="preserve"> г</w:t>
      </w:r>
      <w:r w:rsidR="00745D94">
        <w:t>од</w:t>
      </w:r>
      <w:r w:rsidR="00745D94" w:rsidRPr="00895EC4">
        <w:t>.</w:t>
      </w:r>
      <w:r w:rsidR="00745D94">
        <w:t xml:space="preserve"> </w:t>
      </w:r>
    </w:p>
    <w:p w:rsidR="00313FA8" w:rsidRDefault="00313FA8" w:rsidP="00313FA8">
      <w:pPr>
        <w:pStyle w:val="a9"/>
        <w:spacing w:after="0"/>
        <w:ind w:left="0" w:firstLine="567"/>
        <w:jc w:val="both"/>
      </w:pPr>
      <w:r>
        <w:t>Р</w:t>
      </w:r>
      <w:r w:rsidRPr="00CA576D">
        <w:t>асходы</w:t>
      </w:r>
      <w:r>
        <w:t xml:space="preserve"> предусмотрены в целях благоустройства в сумме 15,9 тыс. руб., а также на реализацию мероприятий перечня проектов народных инициатив в сумме 204,1 тыс. руб. (в т.ч. средства областного бюджета – 200 тыс. руб., средства местного бюджета – 4,1 тыс. руб.).</w:t>
      </w:r>
    </w:p>
    <w:p w:rsidR="00973EAE" w:rsidRDefault="0017693E" w:rsidP="00973EAE">
      <w:pPr>
        <w:autoSpaceDE w:val="0"/>
        <w:autoSpaceDN w:val="0"/>
        <w:adjustRightInd w:val="0"/>
        <w:ind w:firstLine="567"/>
        <w:jc w:val="both"/>
      </w:pPr>
      <w:r w:rsidRPr="0017693E">
        <w:t>В проекте бюджета на  20</w:t>
      </w:r>
      <w:r w:rsidR="000E6383">
        <w:t>2</w:t>
      </w:r>
      <w:r w:rsidR="00F322BD">
        <w:t>2</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E94967">
        <w:t>924,1</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w:t>
      </w:r>
      <w:r w:rsidR="00F322BD">
        <w:t>1</w:t>
      </w:r>
      <w:r w:rsidRPr="00096BA2">
        <w:t xml:space="preserve">г. на </w:t>
      </w:r>
      <w:r w:rsidR="00E94967">
        <w:t>1595,9</w:t>
      </w:r>
      <w:r w:rsidRPr="00096BA2">
        <w:t xml:space="preserve"> тыс.руб. (</w:t>
      </w:r>
      <w:r>
        <w:t>-</w:t>
      </w:r>
      <w:r w:rsidR="00E94967">
        <w:t>63,3</w:t>
      </w:r>
      <w:r w:rsidRPr="00096BA2">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EC100A">
        <w:t>38,6</w:t>
      </w:r>
      <w:r w:rsidRPr="00895EC4">
        <w:t xml:space="preserve">% от общей суммы расходов </w:t>
      </w:r>
      <w:r>
        <w:t>местного</w:t>
      </w:r>
      <w:r w:rsidRPr="00895EC4">
        <w:t xml:space="preserve"> бюджета на 20</w:t>
      </w:r>
      <w:r w:rsidR="000E6383">
        <w:t>2</w:t>
      </w:r>
      <w:r w:rsidR="00F322BD">
        <w:t>2</w:t>
      </w:r>
      <w:r w:rsidRPr="00895EC4">
        <w:t xml:space="preserve"> г</w:t>
      </w:r>
      <w:r>
        <w:t>од.</w:t>
      </w:r>
    </w:p>
    <w:p w:rsidR="00E602C1" w:rsidRPr="00E602C1" w:rsidRDefault="00E602C1" w:rsidP="00172D24">
      <w:pPr>
        <w:autoSpaceDE w:val="0"/>
        <w:autoSpaceDN w:val="0"/>
        <w:adjustRightInd w:val="0"/>
        <w:ind w:firstLine="567"/>
        <w:jc w:val="both"/>
      </w:pPr>
      <w:r w:rsidRPr="00E602C1">
        <w:t>В проекте бюджета на 202</w:t>
      </w:r>
      <w:r w:rsidR="00F37982">
        <w:t>2</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w:t>
      </w:r>
      <w:r w:rsidR="005178DC">
        <w:t>2</w:t>
      </w:r>
      <w:r>
        <w:t xml:space="preserve"> год в сумме 0,1 тыс. руб</w:t>
      </w:r>
      <w:r w:rsidR="005178DC">
        <w:t>лей</w:t>
      </w:r>
      <w:r>
        <w:t>.</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5178DC">
        <w:t>2</w:t>
      </w:r>
      <w:r w:rsidR="00340449">
        <w:t>г.</w:t>
      </w:r>
      <w:r w:rsidR="00340449" w:rsidRPr="00895EC4">
        <w:t xml:space="preserve"> в сумме </w:t>
      </w:r>
      <w:r w:rsidR="005178DC">
        <w:t>900,</w:t>
      </w:r>
      <w:r w:rsidR="003E49A2">
        <w:t>7</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5178DC">
        <w:t>1</w:t>
      </w:r>
      <w:r w:rsidR="00340449">
        <w:t xml:space="preserve">г. на </w:t>
      </w:r>
      <w:r w:rsidR="003E49A2">
        <w:t>100,2 тыс.руб. (+12,5</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5178DC">
        <w:t>141,</w:t>
      </w:r>
      <w:r w:rsidR="003E49A2">
        <w:t>1</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5178DC">
        <w:t xml:space="preserve">759,6 </w:t>
      </w:r>
      <w:r w:rsidR="00335D6E">
        <w:t>тыс. руб</w:t>
      </w:r>
      <w:r w:rsidR="005178DC">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3E49A2">
        <w:t>17,7</w:t>
      </w:r>
      <w:r w:rsidRPr="00895EC4">
        <w:t xml:space="preserve">% от общей суммы расходов </w:t>
      </w:r>
      <w:r>
        <w:t>местного</w:t>
      </w:r>
      <w:r w:rsidRPr="00895EC4">
        <w:t xml:space="preserve"> бюджета на 20</w:t>
      </w:r>
      <w:r w:rsidR="00E775EA">
        <w:t>2</w:t>
      </w:r>
      <w:r w:rsidR="005178DC">
        <w:t>2</w:t>
      </w:r>
      <w:r w:rsidRPr="00895EC4">
        <w:t xml:space="preserve"> г</w:t>
      </w:r>
      <w:r>
        <w:t>од.</w:t>
      </w:r>
    </w:p>
    <w:p w:rsidR="001350D1" w:rsidRPr="00734C10" w:rsidRDefault="001350D1" w:rsidP="001350D1">
      <w:pPr>
        <w:widowControl w:val="0"/>
        <w:numPr>
          <w:ilvl w:val="12"/>
          <w:numId w:val="0"/>
        </w:numPr>
        <w:ind w:firstLine="567"/>
        <w:jc w:val="both"/>
        <w:rPr>
          <w:b/>
          <w:i/>
        </w:rPr>
      </w:pPr>
      <w:r w:rsidRPr="00734C10">
        <w:rPr>
          <w:b/>
          <w:i/>
        </w:rPr>
        <w:t xml:space="preserve">КСК района отмечает, что Пояснительная записка </w:t>
      </w:r>
      <w:r>
        <w:rPr>
          <w:b/>
          <w:i/>
        </w:rPr>
        <w:t xml:space="preserve">к проекту бюджета неинформативна - </w:t>
      </w:r>
      <w:r w:rsidRPr="00734C10">
        <w:rPr>
          <w:b/>
          <w:i/>
        </w:rPr>
        <w:t xml:space="preserve">по </w:t>
      </w:r>
      <w:r>
        <w:rPr>
          <w:b/>
          <w:i/>
        </w:rPr>
        <w:t xml:space="preserve">всем разделам </w:t>
      </w:r>
      <w:r w:rsidRPr="00734C10">
        <w:rPr>
          <w:b/>
          <w:i/>
        </w:rPr>
        <w:t xml:space="preserve">расходов бюджета </w:t>
      </w:r>
      <w:r>
        <w:rPr>
          <w:b/>
          <w:i/>
        </w:rPr>
        <w:t xml:space="preserve">(за исключением раздела 0100 «Общегосударственные расходы») </w:t>
      </w:r>
      <w:r w:rsidRPr="00734C10">
        <w:rPr>
          <w:b/>
          <w:i/>
        </w:rPr>
        <w:t>не содержит информации о мероприятиях (целях), которые планируются к финансированию на 202</w:t>
      </w:r>
      <w:r>
        <w:rPr>
          <w:b/>
          <w:i/>
        </w:rPr>
        <w:t>2</w:t>
      </w:r>
      <w:r w:rsidRPr="00734C10">
        <w:rPr>
          <w:b/>
          <w:i/>
        </w:rPr>
        <w:t xml:space="preserve"> год и на плановый период 202</w:t>
      </w:r>
      <w:r>
        <w:rPr>
          <w:b/>
          <w:i/>
        </w:rPr>
        <w:t>3</w:t>
      </w:r>
      <w:r w:rsidRPr="00734C10">
        <w:rPr>
          <w:b/>
          <w:i/>
        </w:rPr>
        <w:t xml:space="preserve"> и 202</w:t>
      </w:r>
      <w:r>
        <w:rPr>
          <w:b/>
          <w:i/>
        </w:rPr>
        <w:t>4</w:t>
      </w:r>
      <w:r w:rsidRPr="00734C10">
        <w:rPr>
          <w:b/>
          <w:i/>
        </w:rPr>
        <w:t xml:space="preserve"> годов. </w:t>
      </w:r>
    </w:p>
    <w:p w:rsidR="001350D1" w:rsidRDefault="001350D1" w:rsidP="00E04187">
      <w:pPr>
        <w:widowControl w:val="0"/>
        <w:numPr>
          <w:ilvl w:val="12"/>
          <w:numId w:val="0"/>
        </w:numPr>
        <w:ind w:firstLine="567"/>
        <w:jc w:val="both"/>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1D1F44">
        <w:t>Усть-Илгинского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w:t>
      </w:r>
      <w:r w:rsidR="00314F7B">
        <w:rPr>
          <w:rFonts w:eastAsia="TimesNewRomanPSMT"/>
        </w:rPr>
        <w:t>2</w:t>
      </w:r>
      <w:r w:rsidR="007965C5" w:rsidRPr="009D21FF">
        <w:rPr>
          <w:rFonts w:eastAsia="TimesNewRomanPSMT"/>
        </w:rPr>
        <w:t xml:space="preserve"> год и плановый период 202</w:t>
      </w:r>
      <w:r w:rsidR="00314F7B">
        <w:rPr>
          <w:rFonts w:eastAsia="TimesNewRomanPSMT"/>
        </w:rPr>
        <w:t>3</w:t>
      </w:r>
      <w:r w:rsidR="007965C5" w:rsidRPr="009D21FF">
        <w:rPr>
          <w:rFonts w:eastAsia="TimesNewRomanPSMT"/>
        </w:rPr>
        <w:t xml:space="preserve"> и 202</w:t>
      </w:r>
      <w:r w:rsidR="00314F7B">
        <w:rPr>
          <w:rFonts w:eastAsia="TimesNewRomanPSMT"/>
        </w:rPr>
        <w:t>4</w:t>
      </w:r>
      <w:r w:rsidR="007965C5" w:rsidRPr="009D21FF">
        <w:rPr>
          <w:rFonts w:eastAsia="TimesNewRomanPSMT"/>
        </w:rPr>
        <w:t xml:space="preserve"> годов</w:t>
      </w:r>
      <w:r w:rsidR="009E6291" w:rsidRPr="009D21FF">
        <w:t xml:space="preserve">» внесен на рассмотрение в Думу </w:t>
      </w:r>
      <w:r w:rsidR="001D1F44">
        <w:t>Усть-Илгинского</w:t>
      </w:r>
      <w:r w:rsidR="0000549E" w:rsidRPr="009D21FF">
        <w:t xml:space="preserve"> сельского поселения</w:t>
      </w:r>
      <w:r w:rsidR="009E6291" w:rsidRPr="009D21FF">
        <w:t xml:space="preserve"> в срок, установленный </w:t>
      </w:r>
      <w:r w:rsidR="00314F7B">
        <w:t>статьей 185 БК РФ (до 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w:t>
      </w:r>
      <w:r w:rsidR="00372C07">
        <w:t>2</w:t>
      </w:r>
      <w:r w:rsidR="00BF73BD" w:rsidRPr="009D21FF">
        <w:t xml:space="preserve"> год и плановый период 202</w:t>
      </w:r>
      <w:r w:rsidR="00372C07">
        <w:t>3</w:t>
      </w:r>
      <w:r w:rsidR="004E3333" w:rsidRPr="009D21FF">
        <w:t xml:space="preserve"> и </w:t>
      </w:r>
      <w:r w:rsidR="00BF73BD" w:rsidRPr="009D21FF">
        <w:t>202</w:t>
      </w:r>
      <w:r w:rsidR="00372C07">
        <w:t>4</w:t>
      </w:r>
      <w:r w:rsidR="00BF73BD" w:rsidRPr="009D21FF">
        <w:t xml:space="preserve"> годов</w:t>
      </w:r>
      <w:r w:rsidR="00E771B2" w:rsidRPr="009D21FF">
        <w:t xml:space="preserve">: общий объем доходов, общий объем расходов, дефицит бюджета. </w:t>
      </w:r>
    </w:p>
    <w:p w:rsidR="00983C0F" w:rsidRPr="00983C0F" w:rsidRDefault="009E6291" w:rsidP="00983C0F">
      <w:pPr>
        <w:autoSpaceDE w:val="0"/>
        <w:autoSpaceDN w:val="0"/>
        <w:adjustRightInd w:val="0"/>
        <w:ind w:firstLine="709"/>
        <w:jc w:val="both"/>
      </w:pPr>
      <w:r w:rsidRPr="009D21FF">
        <w:t xml:space="preserve">3. </w:t>
      </w:r>
      <w:r w:rsidR="00983C0F" w:rsidRPr="00983C0F">
        <w:t>В нарушение требований ст. 184.2 БК РФ Администрацией Усть-Илгинского муниципального образования не представлены Предварительные итоги социально-экономического развития Усть-Илгинского сельского поселения за 9 месяцев 2021 года и ожидаемые итоги за текущий 2021 год.</w:t>
      </w:r>
    </w:p>
    <w:p w:rsidR="00601385" w:rsidRDefault="009E6291" w:rsidP="00983C0F">
      <w:pPr>
        <w:ind w:firstLine="567"/>
        <w:jc w:val="both"/>
      </w:pPr>
      <w:r w:rsidRPr="009D21FF">
        <w:t>4</w:t>
      </w:r>
      <w:r w:rsidR="00E771B2" w:rsidRPr="009D21FF">
        <w:t xml:space="preserve">.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FF306C" w:rsidRPr="0092797C" w:rsidRDefault="00030371" w:rsidP="00FF306C">
      <w:pPr>
        <w:autoSpaceDE w:val="0"/>
        <w:autoSpaceDN w:val="0"/>
        <w:adjustRightInd w:val="0"/>
        <w:ind w:firstLine="709"/>
        <w:jc w:val="both"/>
      </w:pPr>
      <w:r>
        <w:t xml:space="preserve">5. Объем безвозмездных поступлений предусмотрен в соответствии с </w:t>
      </w:r>
      <w:r w:rsidRPr="0053720D">
        <w:t>проект</w:t>
      </w:r>
      <w:r>
        <w:t>ом</w:t>
      </w:r>
      <w:r w:rsidRPr="0053720D">
        <w:t xml:space="preserve"> Закона Иркутской области «Об областном бюджете на 20</w:t>
      </w:r>
      <w:r>
        <w:t>22</w:t>
      </w:r>
      <w:r w:rsidRPr="0053720D">
        <w:t xml:space="preserve"> год и на плановый период 202</w:t>
      </w:r>
      <w:r>
        <w:t>3</w:t>
      </w:r>
      <w:r w:rsidRPr="0053720D">
        <w:t xml:space="preserve"> и 202</w:t>
      </w:r>
      <w:r>
        <w:t>4</w:t>
      </w:r>
      <w:r w:rsidRPr="0053720D">
        <w:t>гг.»</w:t>
      </w:r>
      <w:r w:rsidR="00FF306C">
        <w:t xml:space="preserve">, </w:t>
      </w:r>
      <w:r w:rsidR="00FF306C" w:rsidRPr="0092797C">
        <w:t>проектом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p>
    <w:p w:rsidR="00983C0F" w:rsidRPr="00962D57" w:rsidRDefault="00030371" w:rsidP="00983C0F">
      <w:pPr>
        <w:ind w:firstLine="709"/>
        <w:jc w:val="both"/>
      </w:pPr>
      <w:r w:rsidRPr="00962D57">
        <w:t>6</w:t>
      </w:r>
      <w:r w:rsidR="00812723" w:rsidRPr="00962D57">
        <w:t>.</w:t>
      </w:r>
      <w:r w:rsidR="00B57DA6" w:rsidRPr="00962D57">
        <w:t xml:space="preserve"> </w:t>
      </w:r>
      <w:r w:rsidR="00983C0F" w:rsidRPr="00962D57">
        <w:t>В нарушение требований абзаца 2 пункта 4 статьи 173 БК РФ отсутствует пояснительная записка к Прогнозу социально-экономического развития Усть-Илгинского МО на 2022-2024гг. (</w:t>
      </w:r>
      <w:r w:rsidR="00983C0F" w:rsidRPr="00962D57">
        <w:rPr>
          <w:u w:val="single"/>
        </w:rPr>
        <w:t>данное нарушение повторяется неоднократно</w:t>
      </w:r>
      <w:r w:rsidR="00983C0F" w:rsidRPr="00962D57">
        <w:t xml:space="preserve">: ЗАКЛЮЧЕНИЕ от 30.11.2020г. № 53/2020-э по результатам экспертизы проекта решения Думы Усть-Илгинского </w:t>
      </w:r>
      <w:r w:rsidR="00983C0F" w:rsidRPr="00962D57">
        <w:rPr>
          <w:bCs/>
        </w:rPr>
        <w:t xml:space="preserve">сельского поселения </w:t>
      </w:r>
      <w:r w:rsidR="00983C0F" w:rsidRPr="00962D57">
        <w:t>«</w:t>
      </w:r>
      <w:r w:rsidR="00983C0F" w:rsidRPr="00962D57">
        <w:rPr>
          <w:bCs/>
        </w:rPr>
        <w:t xml:space="preserve">О бюджете Усть-Илгинского </w:t>
      </w:r>
      <w:r w:rsidR="00983C0F" w:rsidRPr="00962D57">
        <w:t xml:space="preserve">муниципального образования </w:t>
      </w:r>
      <w:r w:rsidR="00983C0F" w:rsidRPr="00962D57">
        <w:rPr>
          <w:bCs/>
        </w:rPr>
        <w:t>на 2021 год и плановый период 2022 и 2023 годов»)</w:t>
      </w:r>
      <w:r w:rsidR="00983C0F" w:rsidRPr="00962D57">
        <w:t xml:space="preserve">. </w:t>
      </w:r>
    </w:p>
    <w:p w:rsidR="00962D57" w:rsidRPr="00962D57" w:rsidRDefault="00983C0F" w:rsidP="00983C0F">
      <w:pPr>
        <w:ind w:firstLine="709"/>
        <w:jc w:val="both"/>
      </w:pPr>
      <w:r w:rsidRPr="00962D57">
        <w:rPr>
          <w:bCs/>
        </w:rPr>
        <w:t xml:space="preserve">7. </w:t>
      </w:r>
      <w:r w:rsidRPr="00962D57">
        <w:t xml:space="preserve">В Реестре источников доходов бюджета Усть-Илгинского сельского поселения на 2022 год и плановый период 2023 и 2024 годов </w:t>
      </w:r>
      <w:r w:rsidR="00962D57" w:rsidRPr="00962D57">
        <w:t xml:space="preserve">не верно установлен </w:t>
      </w:r>
      <w:r w:rsidRPr="00962D57">
        <w:t>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962D57" w:rsidRPr="00962D57">
        <w:t>.</w:t>
      </w:r>
      <w:r w:rsidRPr="00962D57">
        <w:t xml:space="preserve"> </w:t>
      </w:r>
    </w:p>
    <w:p w:rsidR="00983C0F" w:rsidRDefault="00962D57" w:rsidP="00962D57">
      <w:pPr>
        <w:ind w:firstLine="709"/>
        <w:jc w:val="both"/>
      </w:pPr>
      <w:r w:rsidRPr="00962D57">
        <w:rPr>
          <w:bCs/>
        </w:rPr>
        <w:t>8</w:t>
      </w:r>
      <w:r w:rsidR="00983C0F" w:rsidRPr="00962D57">
        <w:rPr>
          <w:bCs/>
        </w:rPr>
        <w:t xml:space="preserve">. </w:t>
      </w:r>
      <w:r w:rsidR="00983C0F" w:rsidRPr="00962D57">
        <w:t>В нарушение Приказа Минфина России от 8 июня 2021 № 75н «Об утверждении кодов (перечней кодов) бюджетной классификации Российской Федерации на 2022 год (на 2022 год и на плановый период 2023 и 2024 го</w:t>
      </w:r>
      <w:r w:rsidRPr="00962D57">
        <w:t>дов)» установлены коды доходов.</w:t>
      </w:r>
    </w:p>
    <w:p w:rsidR="00962D57" w:rsidRPr="00962D57" w:rsidRDefault="00962D57" w:rsidP="00962D57">
      <w:pPr>
        <w:ind w:firstLine="709"/>
        <w:jc w:val="both"/>
      </w:pPr>
      <w:r>
        <w:t>9</w:t>
      </w:r>
      <w:r w:rsidRPr="00962D57">
        <w:t xml:space="preserve">. Объемы финансирования в проекте бюджета не соответствуют объемам финансирования </w:t>
      </w:r>
      <w:r>
        <w:t>утвержденным</w:t>
      </w:r>
      <w:r w:rsidRPr="00962D57">
        <w:t xml:space="preserve"> паспорт</w:t>
      </w:r>
      <w:r>
        <w:t>ом</w:t>
      </w:r>
      <w:r w:rsidRPr="00962D57">
        <w:t xml:space="preserve"> муниципальной программы «Обеспечение пожарной безопасности на территории Усть-Илгинского сельского поселения на 2021-2024 годы».</w:t>
      </w:r>
    </w:p>
    <w:p w:rsidR="001350D1" w:rsidRPr="00734C10" w:rsidRDefault="001350D1" w:rsidP="001350D1">
      <w:pPr>
        <w:widowControl w:val="0"/>
        <w:numPr>
          <w:ilvl w:val="12"/>
          <w:numId w:val="0"/>
        </w:numPr>
        <w:ind w:firstLine="567"/>
        <w:jc w:val="both"/>
        <w:rPr>
          <w:b/>
          <w:i/>
        </w:rPr>
      </w:pPr>
      <w:r>
        <w:t xml:space="preserve">10. </w:t>
      </w:r>
      <w:r w:rsidRPr="001350D1">
        <w:t>Пояснительная записка к проекту бюджета неинформативна - по всем разделам расходов бюджета (за исключением раздела 0100 «Общегосударственные расходы») не содержит информации о мероприятиях (целях), которые планируются к финансированию на 2022 год и на плановый период 2023 и 2024 годов.</w:t>
      </w:r>
      <w:r w:rsidRPr="00734C10">
        <w:rPr>
          <w:b/>
          <w:i/>
        </w:rPr>
        <w:t xml:space="preserve"> </w:t>
      </w:r>
    </w:p>
    <w:p w:rsidR="005D5345" w:rsidRPr="006628FB" w:rsidRDefault="001350D1" w:rsidP="00DB76FB">
      <w:pPr>
        <w:tabs>
          <w:tab w:val="left" w:pos="709"/>
        </w:tabs>
        <w:ind w:firstLine="567"/>
        <w:jc w:val="both"/>
      </w:pPr>
      <w:r>
        <w:t>11</w:t>
      </w:r>
      <w:r w:rsidR="005D5345" w:rsidRPr="009D21FF">
        <w:t xml:space="preserve">. </w:t>
      </w:r>
      <w:r w:rsidR="006628FB">
        <w:t>КСК района предлагает учесть и устранить замечания, отраженные в данном заключении</w:t>
      </w:r>
      <w:r w:rsidR="006628FB" w:rsidRPr="006628FB">
        <w:t>.</w:t>
      </w:r>
    </w:p>
    <w:p w:rsidR="001350D1" w:rsidRDefault="001350D1"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1D1F44">
        <w:t>Усть-Илгинского</w:t>
      </w:r>
      <w:r>
        <w:t xml:space="preserve"> сельского поселения</w:t>
      </w:r>
      <w:r w:rsidRPr="00521E70">
        <w:t xml:space="preserve"> «О бюджете </w:t>
      </w:r>
      <w:r w:rsidR="001D1F44">
        <w:t>Усть-Илгинского</w:t>
      </w:r>
      <w:r>
        <w:t xml:space="preserve"> </w:t>
      </w:r>
      <w:r w:rsidR="00523166">
        <w:t>муниципального образования</w:t>
      </w:r>
      <w:r w:rsidRPr="00521E70">
        <w:t xml:space="preserve"> </w:t>
      </w:r>
      <w:r w:rsidR="00803359">
        <w:t xml:space="preserve">на </w:t>
      </w:r>
      <w:r w:rsidR="007965C5">
        <w:t>202</w:t>
      </w:r>
      <w:r w:rsidR="006628FB">
        <w:t>2</w:t>
      </w:r>
      <w:r w:rsidR="007965C5">
        <w:t xml:space="preserve"> год и плановый период 202</w:t>
      </w:r>
      <w:r w:rsidR="006628FB">
        <w:t>3</w:t>
      </w:r>
      <w:r w:rsidR="007965C5">
        <w:t xml:space="preserve"> и 202</w:t>
      </w:r>
      <w:r w:rsidR="006628FB">
        <w:t>4</w:t>
      </w:r>
      <w:r w:rsidR="007965C5">
        <w:t xml:space="preserve">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483B2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483B2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65E" w:rsidRDefault="0087765E" w:rsidP="00645CD8">
      <w:r>
        <w:separator/>
      </w:r>
    </w:p>
  </w:endnote>
  <w:endnote w:type="continuationSeparator" w:id="1">
    <w:p w:rsidR="0087765E" w:rsidRDefault="0087765E"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65E" w:rsidRDefault="0087765E" w:rsidP="00645CD8">
      <w:r>
        <w:separator/>
      </w:r>
    </w:p>
  </w:footnote>
  <w:footnote w:type="continuationSeparator" w:id="1">
    <w:p w:rsidR="0087765E" w:rsidRDefault="0087765E"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36" w:rsidRDefault="00C66FDB" w:rsidP="002B637C">
    <w:pPr>
      <w:pStyle w:val="aff2"/>
      <w:framePr w:wrap="around" w:vAnchor="text" w:hAnchor="margin" w:xAlign="right" w:y="1"/>
      <w:rPr>
        <w:rStyle w:val="aff4"/>
      </w:rPr>
    </w:pPr>
    <w:r>
      <w:rPr>
        <w:rStyle w:val="aff4"/>
      </w:rPr>
      <w:fldChar w:fldCharType="begin"/>
    </w:r>
    <w:r w:rsidR="00E63E36">
      <w:rPr>
        <w:rStyle w:val="aff4"/>
      </w:rPr>
      <w:instrText xml:space="preserve">PAGE  </w:instrText>
    </w:r>
    <w:r>
      <w:rPr>
        <w:rStyle w:val="aff4"/>
      </w:rPr>
      <w:fldChar w:fldCharType="end"/>
    </w:r>
  </w:p>
  <w:p w:rsidR="00E63E36" w:rsidRDefault="00E63E36"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36" w:rsidRDefault="00C66FDB">
    <w:pPr>
      <w:pStyle w:val="aff2"/>
      <w:jc w:val="right"/>
    </w:pPr>
    <w:fldSimple w:instr=" PAGE   \* MERGEFORMAT ">
      <w:r w:rsidR="0087765E">
        <w:rPr>
          <w:noProof/>
        </w:rPr>
        <w:t>1</w:t>
      </w:r>
    </w:fldSimple>
  </w:p>
  <w:p w:rsidR="00E63E36" w:rsidRDefault="00E63E36"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A072E"/>
    <w:rsid w:val="000A1214"/>
    <w:rsid w:val="000A1B5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2085"/>
    <w:rsid w:val="00172D24"/>
    <w:rsid w:val="001732F2"/>
    <w:rsid w:val="001757B9"/>
    <w:rsid w:val="00175FFF"/>
    <w:rsid w:val="0017693E"/>
    <w:rsid w:val="00177E78"/>
    <w:rsid w:val="00181006"/>
    <w:rsid w:val="00182699"/>
    <w:rsid w:val="00182F29"/>
    <w:rsid w:val="001836A9"/>
    <w:rsid w:val="00184555"/>
    <w:rsid w:val="00184CBC"/>
    <w:rsid w:val="001861EF"/>
    <w:rsid w:val="001867E1"/>
    <w:rsid w:val="00190379"/>
    <w:rsid w:val="001903A0"/>
    <w:rsid w:val="00190665"/>
    <w:rsid w:val="00190EAC"/>
    <w:rsid w:val="0019153F"/>
    <w:rsid w:val="0019164B"/>
    <w:rsid w:val="00192DF0"/>
    <w:rsid w:val="0019316A"/>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4041"/>
    <w:rsid w:val="001C5B13"/>
    <w:rsid w:val="001C5C36"/>
    <w:rsid w:val="001D1F44"/>
    <w:rsid w:val="001D30CC"/>
    <w:rsid w:val="001D3A93"/>
    <w:rsid w:val="001D6CC9"/>
    <w:rsid w:val="001E06B6"/>
    <w:rsid w:val="001E0E59"/>
    <w:rsid w:val="001E114B"/>
    <w:rsid w:val="001E2FAA"/>
    <w:rsid w:val="001E59EA"/>
    <w:rsid w:val="001E62E6"/>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7DE3"/>
    <w:rsid w:val="0020015F"/>
    <w:rsid w:val="00201521"/>
    <w:rsid w:val="0020231F"/>
    <w:rsid w:val="0020276A"/>
    <w:rsid w:val="00203C1D"/>
    <w:rsid w:val="002051F5"/>
    <w:rsid w:val="00205F4B"/>
    <w:rsid w:val="00210876"/>
    <w:rsid w:val="00210B1C"/>
    <w:rsid w:val="002116B1"/>
    <w:rsid w:val="00211838"/>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1CD5"/>
    <w:rsid w:val="002734BC"/>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A05AB"/>
    <w:rsid w:val="002A1A24"/>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0FBC"/>
    <w:rsid w:val="002C19C5"/>
    <w:rsid w:val="002C33A8"/>
    <w:rsid w:val="002C413E"/>
    <w:rsid w:val="002C41F6"/>
    <w:rsid w:val="002C4A19"/>
    <w:rsid w:val="002C4AC9"/>
    <w:rsid w:val="002C5BA2"/>
    <w:rsid w:val="002D0DE1"/>
    <w:rsid w:val="002D21D4"/>
    <w:rsid w:val="002D2A24"/>
    <w:rsid w:val="002D3507"/>
    <w:rsid w:val="002D4B0B"/>
    <w:rsid w:val="002D4ED3"/>
    <w:rsid w:val="002D68C0"/>
    <w:rsid w:val="002E1E04"/>
    <w:rsid w:val="002E2A41"/>
    <w:rsid w:val="002E2D37"/>
    <w:rsid w:val="002E44B4"/>
    <w:rsid w:val="002E46F5"/>
    <w:rsid w:val="002E5865"/>
    <w:rsid w:val="002E597F"/>
    <w:rsid w:val="002E6276"/>
    <w:rsid w:val="002E63AF"/>
    <w:rsid w:val="002E6E53"/>
    <w:rsid w:val="002E6EB1"/>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AE5"/>
    <w:rsid w:val="00306C81"/>
    <w:rsid w:val="0030716A"/>
    <w:rsid w:val="00310024"/>
    <w:rsid w:val="00310260"/>
    <w:rsid w:val="0031175E"/>
    <w:rsid w:val="00311E1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1459"/>
    <w:rsid w:val="00321FDA"/>
    <w:rsid w:val="003223C5"/>
    <w:rsid w:val="00324772"/>
    <w:rsid w:val="00325613"/>
    <w:rsid w:val="003260BE"/>
    <w:rsid w:val="00331CFC"/>
    <w:rsid w:val="003324C6"/>
    <w:rsid w:val="00332AAF"/>
    <w:rsid w:val="00334DFF"/>
    <w:rsid w:val="00335D6E"/>
    <w:rsid w:val="00336FA6"/>
    <w:rsid w:val="00340449"/>
    <w:rsid w:val="00340627"/>
    <w:rsid w:val="00340FCD"/>
    <w:rsid w:val="003412ED"/>
    <w:rsid w:val="003415F2"/>
    <w:rsid w:val="00341658"/>
    <w:rsid w:val="003444E3"/>
    <w:rsid w:val="0034478D"/>
    <w:rsid w:val="0034491A"/>
    <w:rsid w:val="003459C9"/>
    <w:rsid w:val="00345EB5"/>
    <w:rsid w:val="0034756B"/>
    <w:rsid w:val="003505DC"/>
    <w:rsid w:val="00353218"/>
    <w:rsid w:val="003536F9"/>
    <w:rsid w:val="00354FBD"/>
    <w:rsid w:val="003558B0"/>
    <w:rsid w:val="00355FDE"/>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2D64"/>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3D8A"/>
    <w:rsid w:val="00444E38"/>
    <w:rsid w:val="00445280"/>
    <w:rsid w:val="00445A8D"/>
    <w:rsid w:val="00446A77"/>
    <w:rsid w:val="00447358"/>
    <w:rsid w:val="00447604"/>
    <w:rsid w:val="00450343"/>
    <w:rsid w:val="004517A7"/>
    <w:rsid w:val="00451BAA"/>
    <w:rsid w:val="00452065"/>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5F52"/>
    <w:rsid w:val="005E6F57"/>
    <w:rsid w:val="005F0C84"/>
    <w:rsid w:val="005F0FE5"/>
    <w:rsid w:val="005F1711"/>
    <w:rsid w:val="005F1C89"/>
    <w:rsid w:val="005F2F27"/>
    <w:rsid w:val="005F4D44"/>
    <w:rsid w:val="005F4E38"/>
    <w:rsid w:val="005F7D0D"/>
    <w:rsid w:val="005F7F4F"/>
    <w:rsid w:val="00601385"/>
    <w:rsid w:val="006017C0"/>
    <w:rsid w:val="00601AE1"/>
    <w:rsid w:val="00603C06"/>
    <w:rsid w:val="006047A2"/>
    <w:rsid w:val="00605252"/>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788A"/>
    <w:rsid w:val="00641541"/>
    <w:rsid w:val="0064194D"/>
    <w:rsid w:val="00641987"/>
    <w:rsid w:val="00641F8C"/>
    <w:rsid w:val="00642283"/>
    <w:rsid w:val="00642C9F"/>
    <w:rsid w:val="00642CA6"/>
    <w:rsid w:val="00643B23"/>
    <w:rsid w:val="00643E05"/>
    <w:rsid w:val="00645CD8"/>
    <w:rsid w:val="006469FD"/>
    <w:rsid w:val="00651878"/>
    <w:rsid w:val="00651E43"/>
    <w:rsid w:val="00652708"/>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6CF"/>
    <w:rsid w:val="006923F7"/>
    <w:rsid w:val="00692C7A"/>
    <w:rsid w:val="00697773"/>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3C61"/>
    <w:rsid w:val="006B4DCC"/>
    <w:rsid w:val="006B53B2"/>
    <w:rsid w:val="006B5F47"/>
    <w:rsid w:val="006B68FA"/>
    <w:rsid w:val="006C047A"/>
    <w:rsid w:val="006C09FA"/>
    <w:rsid w:val="006C14EF"/>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A73"/>
    <w:rsid w:val="006E7D8C"/>
    <w:rsid w:val="006F0F0D"/>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830"/>
    <w:rsid w:val="00723A38"/>
    <w:rsid w:val="00723CCA"/>
    <w:rsid w:val="00723F71"/>
    <w:rsid w:val="0072404F"/>
    <w:rsid w:val="00724533"/>
    <w:rsid w:val="00724B79"/>
    <w:rsid w:val="007255F5"/>
    <w:rsid w:val="00725BA6"/>
    <w:rsid w:val="0072616A"/>
    <w:rsid w:val="00726658"/>
    <w:rsid w:val="00727BC0"/>
    <w:rsid w:val="00730FD0"/>
    <w:rsid w:val="00731178"/>
    <w:rsid w:val="00732055"/>
    <w:rsid w:val="00732BBC"/>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4B5"/>
    <w:rsid w:val="00747A28"/>
    <w:rsid w:val="00750B81"/>
    <w:rsid w:val="00750FE9"/>
    <w:rsid w:val="00754034"/>
    <w:rsid w:val="00754553"/>
    <w:rsid w:val="00755284"/>
    <w:rsid w:val="00757C44"/>
    <w:rsid w:val="0076038F"/>
    <w:rsid w:val="007622F7"/>
    <w:rsid w:val="00762F1D"/>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1917"/>
    <w:rsid w:val="007D47C6"/>
    <w:rsid w:val="007D48E0"/>
    <w:rsid w:val="007D52D4"/>
    <w:rsid w:val="007D5D98"/>
    <w:rsid w:val="007D6F3D"/>
    <w:rsid w:val="007D72A1"/>
    <w:rsid w:val="007E0FCE"/>
    <w:rsid w:val="007E21DC"/>
    <w:rsid w:val="007E28B8"/>
    <w:rsid w:val="007E2A34"/>
    <w:rsid w:val="007E2DC9"/>
    <w:rsid w:val="007E5C8A"/>
    <w:rsid w:val="007E6D2A"/>
    <w:rsid w:val="007F209B"/>
    <w:rsid w:val="007F27C6"/>
    <w:rsid w:val="007F3091"/>
    <w:rsid w:val="007F4841"/>
    <w:rsid w:val="007F4FA1"/>
    <w:rsid w:val="007F542A"/>
    <w:rsid w:val="007F7632"/>
    <w:rsid w:val="007F7942"/>
    <w:rsid w:val="00800B3B"/>
    <w:rsid w:val="0080146A"/>
    <w:rsid w:val="00801B46"/>
    <w:rsid w:val="008023FA"/>
    <w:rsid w:val="0080317B"/>
    <w:rsid w:val="00803359"/>
    <w:rsid w:val="008042A7"/>
    <w:rsid w:val="008056C3"/>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59F3"/>
    <w:rsid w:val="00845C93"/>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65E"/>
    <w:rsid w:val="00877816"/>
    <w:rsid w:val="00882706"/>
    <w:rsid w:val="00882777"/>
    <w:rsid w:val="00882F43"/>
    <w:rsid w:val="00883644"/>
    <w:rsid w:val="008848D7"/>
    <w:rsid w:val="00884915"/>
    <w:rsid w:val="008860A5"/>
    <w:rsid w:val="008861EC"/>
    <w:rsid w:val="008878C6"/>
    <w:rsid w:val="0089141F"/>
    <w:rsid w:val="00894AD9"/>
    <w:rsid w:val="008952F8"/>
    <w:rsid w:val="00895843"/>
    <w:rsid w:val="00895B41"/>
    <w:rsid w:val="008963A3"/>
    <w:rsid w:val="00896741"/>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D0DE0"/>
    <w:rsid w:val="008D184C"/>
    <w:rsid w:val="008D1EF0"/>
    <w:rsid w:val="008D2450"/>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907"/>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2D57"/>
    <w:rsid w:val="009670A1"/>
    <w:rsid w:val="009714CD"/>
    <w:rsid w:val="0097206B"/>
    <w:rsid w:val="009726DE"/>
    <w:rsid w:val="00972A8D"/>
    <w:rsid w:val="00973573"/>
    <w:rsid w:val="009738D3"/>
    <w:rsid w:val="00973C5A"/>
    <w:rsid w:val="00973EAE"/>
    <w:rsid w:val="0097479C"/>
    <w:rsid w:val="0097740A"/>
    <w:rsid w:val="00980B04"/>
    <w:rsid w:val="0098136E"/>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3DEB"/>
    <w:rsid w:val="009B40D6"/>
    <w:rsid w:val="009B7CF6"/>
    <w:rsid w:val="009C0446"/>
    <w:rsid w:val="009C1066"/>
    <w:rsid w:val="009C1148"/>
    <w:rsid w:val="009C1524"/>
    <w:rsid w:val="009C1CC0"/>
    <w:rsid w:val="009C3D37"/>
    <w:rsid w:val="009C4745"/>
    <w:rsid w:val="009C4897"/>
    <w:rsid w:val="009C49E7"/>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24E"/>
    <w:rsid w:val="00A4430B"/>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787"/>
    <w:rsid w:val="00A76EE1"/>
    <w:rsid w:val="00A7732A"/>
    <w:rsid w:val="00A803F0"/>
    <w:rsid w:val="00A80410"/>
    <w:rsid w:val="00A80AD2"/>
    <w:rsid w:val="00A81033"/>
    <w:rsid w:val="00A81629"/>
    <w:rsid w:val="00A81FB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C0E"/>
    <w:rsid w:val="00AD0358"/>
    <w:rsid w:val="00AD1C38"/>
    <w:rsid w:val="00AD1D8D"/>
    <w:rsid w:val="00AD221A"/>
    <w:rsid w:val="00AD246E"/>
    <w:rsid w:val="00AD54F3"/>
    <w:rsid w:val="00AD5CCF"/>
    <w:rsid w:val="00AE11E4"/>
    <w:rsid w:val="00AE2462"/>
    <w:rsid w:val="00AE2744"/>
    <w:rsid w:val="00AE3CF9"/>
    <w:rsid w:val="00AE459D"/>
    <w:rsid w:val="00AE54D9"/>
    <w:rsid w:val="00AE5973"/>
    <w:rsid w:val="00AF0541"/>
    <w:rsid w:val="00AF0788"/>
    <w:rsid w:val="00AF2337"/>
    <w:rsid w:val="00AF2997"/>
    <w:rsid w:val="00AF2BC1"/>
    <w:rsid w:val="00AF2CBF"/>
    <w:rsid w:val="00AF333C"/>
    <w:rsid w:val="00AF3A4B"/>
    <w:rsid w:val="00AF3BC5"/>
    <w:rsid w:val="00AF5061"/>
    <w:rsid w:val="00AF6646"/>
    <w:rsid w:val="00AF6B4C"/>
    <w:rsid w:val="00AF7182"/>
    <w:rsid w:val="00AF7297"/>
    <w:rsid w:val="00AF7CD0"/>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6DB"/>
    <w:rsid w:val="00B251DB"/>
    <w:rsid w:val="00B25E57"/>
    <w:rsid w:val="00B26378"/>
    <w:rsid w:val="00B266FC"/>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45C"/>
    <w:rsid w:val="00B85E6B"/>
    <w:rsid w:val="00B87E37"/>
    <w:rsid w:val="00B91242"/>
    <w:rsid w:val="00B927AA"/>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2F76"/>
    <w:rsid w:val="00BD3A8B"/>
    <w:rsid w:val="00BD3FA9"/>
    <w:rsid w:val="00BD4862"/>
    <w:rsid w:val="00BD6403"/>
    <w:rsid w:val="00BD66D7"/>
    <w:rsid w:val="00BD6739"/>
    <w:rsid w:val="00BD75B2"/>
    <w:rsid w:val="00BE19D3"/>
    <w:rsid w:val="00BE2561"/>
    <w:rsid w:val="00BE3FD2"/>
    <w:rsid w:val="00BE61A2"/>
    <w:rsid w:val="00BE7A55"/>
    <w:rsid w:val="00BE7C00"/>
    <w:rsid w:val="00BF0BE8"/>
    <w:rsid w:val="00BF11EB"/>
    <w:rsid w:val="00BF2EFC"/>
    <w:rsid w:val="00BF30B7"/>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6FDB"/>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EF8"/>
    <w:rsid w:val="00D26F38"/>
    <w:rsid w:val="00D273AF"/>
    <w:rsid w:val="00D3007E"/>
    <w:rsid w:val="00D3110C"/>
    <w:rsid w:val="00D3138E"/>
    <w:rsid w:val="00D33432"/>
    <w:rsid w:val="00D33CE6"/>
    <w:rsid w:val="00D3645F"/>
    <w:rsid w:val="00D37041"/>
    <w:rsid w:val="00D371FC"/>
    <w:rsid w:val="00D372FC"/>
    <w:rsid w:val="00D378EF"/>
    <w:rsid w:val="00D4043B"/>
    <w:rsid w:val="00D405C2"/>
    <w:rsid w:val="00D40A55"/>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4D61"/>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A4"/>
    <w:rsid w:val="00DD187B"/>
    <w:rsid w:val="00DD18A2"/>
    <w:rsid w:val="00DD35A9"/>
    <w:rsid w:val="00DD3D30"/>
    <w:rsid w:val="00DD3E51"/>
    <w:rsid w:val="00DD3FB7"/>
    <w:rsid w:val="00DD4E9A"/>
    <w:rsid w:val="00DD6238"/>
    <w:rsid w:val="00DE0B51"/>
    <w:rsid w:val="00DE12D4"/>
    <w:rsid w:val="00DE1D51"/>
    <w:rsid w:val="00DE1DF4"/>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60D7"/>
    <w:rsid w:val="00E065F2"/>
    <w:rsid w:val="00E10AA7"/>
    <w:rsid w:val="00E10E33"/>
    <w:rsid w:val="00E118AF"/>
    <w:rsid w:val="00E11D78"/>
    <w:rsid w:val="00E13272"/>
    <w:rsid w:val="00E13F4E"/>
    <w:rsid w:val="00E154FE"/>
    <w:rsid w:val="00E15E69"/>
    <w:rsid w:val="00E17398"/>
    <w:rsid w:val="00E2127A"/>
    <w:rsid w:val="00E21D8B"/>
    <w:rsid w:val="00E237D4"/>
    <w:rsid w:val="00E2409D"/>
    <w:rsid w:val="00E2571A"/>
    <w:rsid w:val="00E27B03"/>
    <w:rsid w:val="00E30483"/>
    <w:rsid w:val="00E30675"/>
    <w:rsid w:val="00E30703"/>
    <w:rsid w:val="00E31698"/>
    <w:rsid w:val="00E32291"/>
    <w:rsid w:val="00E3290C"/>
    <w:rsid w:val="00E32E7F"/>
    <w:rsid w:val="00E3591B"/>
    <w:rsid w:val="00E36557"/>
    <w:rsid w:val="00E3716A"/>
    <w:rsid w:val="00E4038F"/>
    <w:rsid w:val="00E42312"/>
    <w:rsid w:val="00E42E13"/>
    <w:rsid w:val="00E437F8"/>
    <w:rsid w:val="00E44145"/>
    <w:rsid w:val="00E44146"/>
    <w:rsid w:val="00E45F9A"/>
    <w:rsid w:val="00E468B7"/>
    <w:rsid w:val="00E4699F"/>
    <w:rsid w:val="00E47240"/>
    <w:rsid w:val="00E5122F"/>
    <w:rsid w:val="00E51EF2"/>
    <w:rsid w:val="00E531B9"/>
    <w:rsid w:val="00E53609"/>
    <w:rsid w:val="00E53E0C"/>
    <w:rsid w:val="00E541BE"/>
    <w:rsid w:val="00E554E7"/>
    <w:rsid w:val="00E560CA"/>
    <w:rsid w:val="00E6009C"/>
    <w:rsid w:val="00E602C1"/>
    <w:rsid w:val="00E60D22"/>
    <w:rsid w:val="00E61FD2"/>
    <w:rsid w:val="00E631A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18F4"/>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24E8"/>
    <w:rsid w:val="00F42CD7"/>
    <w:rsid w:val="00F432F5"/>
    <w:rsid w:val="00F45955"/>
    <w:rsid w:val="00F544DC"/>
    <w:rsid w:val="00F548ED"/>
    <w:rsid w:val="00F55E0F"/>
    <w:rsid w:val="00F5664C"/>
    <w:rsid w:val="00F572EC"/>
    <w:rsid w:val="00F5760F"/>
    <w:rsid w:val="00F601F8"/>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7F2"/>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06C"/>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60E0-EB12-4330-B8FC-555E3D6D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Pages>
  <Words>5624</Words>
  <Characters>32061</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Аудитор                                                                         </vt:lpstr>
    </vt:vector>
  </TitlesOfParts>
  <Company>*</Company>
  <LinksUpToDate>false</LinksUpToDate>
  <CharactersWithSpaces>37610</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31</cp:revision>
  <cp:lastPrinted>2021-11-25T03:32:00Z</cp:lastPrinted>
  <dcterms:created xsi:type="dcterms:W3CDTF">2021-11-25T00:35:00Z</dcterms:created>
  <dcterms:modified xsi:type="dcterms:W3CDTF">2021-12-01T00:43:00Z</dcterms:modified>
</cp:coreProperties>
</file>