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7C2B53" w:rsidP="00774830">
      <w:pPr>
        <w:pStyle w:val="a3"/>
        <w:tabs>
          <w:tab w:val="left" w:pos="0"/>
        </w:tabs>
        <w:autoSpaceDE/>
        <w:autoSpaceDN/>
        <w:spacing w:after="0"/>
        <w:ind w:firstLine="567"/>
        <w:jc w:val="both"/>
        <w:rPr>
          <w:sz w:val="24"/>
          <w:szCs w:val="24"/>
        </w:rPr>
      </w:pPr>
      <w:r>
        <w:rPr>
          <w:sz w:val="24"/>
          <w:szCs w:val="24"/>
        </w:rPr>
        <w:t>24</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F7EA9">
        <w:rPr>
          <w:sz w:val="24"/>
          <w:szCs w:val="24"/>
        </w:rPr>
        <w:t>5</w:t>
      </w:r>
      <w:r w:rsidR="001D4B87">
        <w:rPr>
          <w:sz w:val="24"/>
          <w:szCs w:val="24"/>
        </w:rPr>
        <w:t>4</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7C2B53">
        <w:t>Чиканского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7C2B53">
        <w:rPr>
          <w:bCs/>
        </w:rPr>
        <w:t>Чиканского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7C2B53">
        <w:t>Чиканского</w:t>
      </w:r>
      <w:r w:rsidR="0000549E">
        <w:t xml:space="preserve"> сельского поселения</w:t>
      </w:r>
      <w:r w:rsidR="00462578" w:rsidRPr="00A621A3">
        <w:t xml:space="preserve"> «</w:t>
      </w:r>
      <w:r w:rsidR="00774830">
        <w:rPr>
          <w:bCs/>
        </w:rPr>
        <w:t xml:space="preserve">О бюджете </w:t>
      </w:r>
      <w:r w:rsidR="007C2B53">
        <w:rPr>
          <w:bCs/>
        </w:rPr>
        <w:t>Чиканского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7C2B53">
        <w:t>Чиканском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7C2B53">
        <w:t>4</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C2B53">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7C2B53">
        <w:rPr>
          <w:sz w:val="24"/>
          <w:szCs w:val="24"/>
        </w:rPr>
        <w:t>130</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B6DC6" w:rsidRPr="00B9579E">
        <w:rPr>
          <w:sz w:val="24"/>
          <w:szCs w:val="24"/>
        </w:rPr>
        <w:t>сроков</w:t>
      </w:r>
      <w:r w:rsidR="002B6DC6">
        <w:rPr>
          <w:sz w:val="24"/>
          <w:szCs w:val="24"/>
        </w:rPr>
        <w:t>,</w:t>
      </w:r>
      <w:r w:rsidR="002B6DC6" w:rsidRPr="00B9579E">
        <w:rPr>
          <w:sz w:val="24"/>
          <w:szCs w:val="24"/>
        </w:rPr>
        <w:t xml:space="preserve"> </w:t>
      </w:r>
      <w:r w:rsidR="002B6DC6" w:rsidRPr="00CC1EE8">
        <w:rPr>
          <w:sz w:val="24"/>
          <w:szCs w:val="24"/>
        </w:rPr>
        <w:t xml:space="preserve">установленных </w:t>
      </w:r>
      <w:r w:rsidR="002B6DC6">
        <w:rPr>
          <w:sz w:val="24"/>
          <w:szCs w:val="24"/>
        </w:rPr>
        <w:t xml:space="preserve">ст. 185 БК РФ </w:t>
      </w:r>
      <w:r w:rsidR="002B6DC6" w:rsidRPr="00B9579E">
        <w:rPr>
          <w:sz w:val="24"/>
          <w:szCs w:val="24"/>
        </w:rPr>
        <w:t>(</w:t>
      </w:r>
      <w:r w:rsidR="002B6DC6">
        <w:rPr>
          <w:sz w:val="24"/>
          <w:szCs w:val="24"/>
        </w:rPr>
        <w:t>не позднее</w:t>
      </w:r>
      <w:r w:rsidR="002B6DC6"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w:t>
      </w:r>
      <w:r w:rsidR="00613302">
        <w:rPr>
          <w:sz w:val="24"/>
          <w:szCs w:val="24"/>
        </w:rPr>
        <w:t>24, 25</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7C2B53">
        <w:rPr>
          <w:sz w:val="24"/>
          <w:szCs w:val="24"/>
        </w:rPr>
        <w:t>Чиканском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7C2B53">
        <w:rPr>
          <w:sz w:val="24"/>
          <w:szCs w:val="24"/>
        </w:rPr>
        <w:t>Чиканского</w:t>
      </w:r>
      <w:r w:rsidR="001D1F44">
        <w:rPr>
          <w:sz w:val="24"/>
          <w:szCs w:val="24"/>
        </w:rPr>
        <w:t xml:space="preserve"> сельского поселения от </w:t>
      </w:r>
      <w:r w:rsidR="00613302">
        <w:rPr>
          <w:sz w:val="24"/>
          <w:szCs w:val="24"/>
        </w:rPr>
        <w:t>26</w:t>
      </w:r>
      <w:r w:rsidR="001D1F44">
        <w:rPr>
          <w:sz w:val="24"/>
          <w:szCs w:val="24"/>
        </w:rPr>
        <w:t>.0</w:t>
      </w:r>
      <w:r w:rsidR="00613302">
        <w:rPr>
          <w:sz w:val="24"/>
          <w:szCs w:val="24"/>
        </w:rPr>
        <w:t>3</w:t>
      </w:r>
      <w:r w:rsidR="001D1F44">
        <w:rPr>
          <w:sz w:val="24"/>
          <w:szCs w:val="24"/>
        </w:rPr>
        <w:t xml:space="preserve">.2020 № </w:t>
      </w:r>
      <w:r w:rsidR="00613302">
        <w:rPr>
          <w:sz w:val="24"/>
          <w:szCs w:val="24"/>
        </w:rPr>
        <w:t>110</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7C2B53">
        <w:rPr>
          <w:sz w:val="24"/>
          <w:szCs w:val="24"/>
        </w:rPr>
        <w:t>Чиканского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w:t>
      </w:r>
      <w:r w:rsidR="00F10E7B">
        <w:rPr>
          <w:sz w:val="24"/>
          <w:szCs w:val="24"/>
        </w:rPr>
        <w:t xml:space="preserve"> </w:t>
      </w:r>
      <w:r w:rsidR="00613302">
        <w:rPr>
          <w:sz w:val="24"/>
          <w:szCs w:val="24"/>
        </w:rPr>
        <w:t>бюджета</w:t>
      </w:r>
      <w:r w:rsidRPr="00EA4EF5">
        <w:rPr>
          <w:sz w:val="24"/>
          <w:szCs w:val="24"/>
        </w:rPr>
        <w:t>,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7C2B53">
        <w:t>Чиканского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7C2B53">
        <w:t>Чиканского</w:t>
      </w:r>
      <w:r w:rsidR="0000549E">
        <w:t xml:space="preserve"> </w:t>
      </w:r>
      <w:r w:rsidR="00BB27A8">
        <w:t>муниципального образования</w:t>
      </w:r>
      <w:r w:rsidR="00050193">
        <w:t xml:space="preserve"> на 20</w:t>
      </w:r>
      <w:r w:rsidR="00BB27A8">
        <w:t>2</w:t>
      </w:r>
      <w:r w:rsidR="000A2EE7">
        <w:t>3</w:t>
      </w:r>
      <w:r w:rsidR="00343312">
        <w:t xml:space="preserve"> год и плановый период 2024 и </w:t>
      </w:r>
      <w:r w:rsidR="00050193">
        <w:t>202</w:t>
      </w:r>
      <w:r w:rsidR="000A2EE7">
        <w:t>5</w:t>
      </w:r>
      <w:r w:rsidR="00050193">
        <w:t xml:space="preserve"> г</w:t>
      </w:r>
      <w:r w:rsidR="00343312">
        <w:t>одов</w:t>
      </w:r>
      <w:r w:rsidR="00FB7382">
        <w:t>,</w:t>
      </w:r>
      <w:r>
        <w:t xml:space="preserve"> одобренного </w:t>
      </w:r>
      <w:r w:rsidR="00343312">
        <w:t>распоряжением</w:t>
      </w:r>
      <w:r>
        <w:t xml:space="preserve"> администрации </w:t>
      </w:r>
      <w:r w:rsidR="007C2B53">
        <w:t>Чиканского</w:t>
      </w:r>
      <w:r>
        <w:t xml:space="preserve"> сельского поселения от </w:t>
      </w:r>
      <w:r w:rsidR="00343312">
        <w:t>12</w:t>
      </w:r>
      <w:r>
        <w:t>.1</w:t>
      </w:r>
      <w:r w:rsidR="00652720">
        <w:t>0</w:t>
      </w:r>
      <w:r>
        <w:t>.202</w:t>
      </w:r>
      <w:r w:rsidR="000A2EE7">
        <w:t>2</w:t>
      </w:r>
      <w:r>
        <w:t xml:space="preserve"> №</w:t>
      </w:r>
      <w:r w:rsidR="000A2EE7">
        <w:t xml:space="preserve"> </w:t>
      </w:r>
      <w:r w:rsidR="00343312">
        <w:t>70</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7C2B53">
        <w:t>Чиканского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w:t>
      </w:r>
      <w:r w:rsidR="00343312">
        <w:t xml:space="preserve">на </w:t>
      </w:r>
      <w:r w:rsidR="00803359">
        <w:t>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7C2B53">
        <w:t>Чиканского</w:t>
      </w:r>
      <w:r w:rsidR="00EC58A1">
        <w:t xml:space="preserve"> сельского поселения от </w:t>
      </w:r>
      <w:r w:rsidR="00343312">
        <w:t>11</w:t>
      </w:r>
      <w:r w:rsidR="00EC58A1">
        <w:t>.1</w:t>
      </w:r>
      <w:r w:rsidR="00652720">
        <w:t>0</w:t>
      </w:r>
      <w:r w:rsidR="00EC58A1">
        <w:t>.202</w:t>
      </w:r>
      <w:r w:rsidR="000A2EE7">
        <w:t>2</w:t>
      </w:r>
      <w:r w:rsidR="00EC58A1">
        <w:t xml:space="preserve"> № </w:t>
      </w:r>
      <w:r w:rsidR="00343312">
        <w:t>59</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7C2B53">
        <w:t>Чиканского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310685" w:rsidRDefault="00310685" w:rsidP="000D7663">
      <w:pPr>
        <w:autoSpaceDE w:val="0"/>
        <w:autoSpaceDN w:val="0"/>
        <w:adjustRightInd w:val="0"/>
        <w:ind w:firstLine="709"/>
        <w:jc w:val="both"/>
      </w:pPr>
      <w:r>
        <w:t>- паспорта (проекты изменений в паспорта) муниципальных программ;</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w:t>
      </w:r>
      <w:r w:rsidR="00310685">
        <w:t>ла</w:t>
      </w:r>
      <w:r w:rsidRPr="00731178">
        <w:t xml:space="preserve"> представленные документы</w:t>
      </w:r>
      <w:r w:rsidR="00E8288D">
        <w:t>,</w:t>
      </w:r>
      <w:r w:rsidRPr="00731178">
        <w:t xml:space="preserve"> </w:t>
      </w:r>
      <w:r w:rsidR="00310685">
        <w:t>нарушений не установлено</w:t>
      </w:r>
      <w:r w:rsidRPr="00731178">
        <w:t>.</w:t>
      </w:r>
    </w:p>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7C2B53">
        <w:t>Чиканского</w:t>
      </w:r>
      <w:r w:rsidR="000267E3">
        <w:t xml:space="preserve"> муниципального образования</w:t>
      </w:r>
      <w:r w:rsidRPr="00B03A0F">
        <w:rPr>
          <w:rFonts w:eastAsia="TimesNewRomanPSMT"/>
        </w:rPr>
        <w:t xml:space="preserve"> </w:t>
      </w:r>
      <w:r w:rsidRPr="00B03A0F">
        <w:t xml:space="preserve">«О бюджете </w:t>
      </w:r>
      <w:r w:rsidR="007C2B53">
        <w:t>Чиканского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D51F5E">
        <w:rPr>
          <w:b/>
          <w:bCs/>
        </w:rPr>
        <w:t xml:space="preserve">12 264,7 </w:t>
      </w:r>
      <w:r w:rsidRPr="0072095E">
        <w:rPr>
          <w:b/>
          <w:bCs/>
        </w:rPr>
        <w:t>тыс.рублей,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D51F5E">
        <w:rPr>
          <w:bCs/>
        </w:rPr>
        <w:t>7194,6</w:t>
      </w:r>
      <w:r w:rsidRPr="008B11FD">
        <w:rPr>
          <w:bCs/>
        </w:rPr>
        <w:t xml:space="preserve"> тыс.рублей;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D51F5E">
        <w:rPr>
          <w:b/>
          <w:bCs/>
          <w:color w:val="auto"/>
        </w:rPr>
        <w:t>12 634,9</w:t>
      </w:r>
      <w:r w:rsidRPr="0072095E">
        <w:rPr>
          <w:b/>
          <w:bCs/>
          <w:color w:val="auto"/>
        </w:rPr>
        <w:t xml:space="preserve"> тыс.рублей;</w:t>
      </w:r>
    </w:p>
    <w:p w:rsidR="0051522B" w:rsidRPr="0072095E" w:rsidRDefault="0051522B" w:rsidP="0051522B">
      <w:pPr>
        <w:ind w:firstLine="567"/>
        <w:jc w:val="both"/>
      </w:pPr>
      <w:r w:rsidRPr="0072095E">
        <w:rPr>
          <w:b/>
          <w:bCs/>
        </w:rPr>
        <w:t xml:space="preserve">- размер дефицита бюджета в сумме </w:t>
      </w:r>
      <w:r w:rsidR="00D51F5E">
        <w:rPr>
          <w:b/>
          <w:bCs/>
        </w:rPr>
        <w:t>370,2</w:t>
      </w:r>
      <w:r w:rsidRPr="0072095E">
        <w:rPr>
          <w:b/>
          <w:bCs/>
        </w:rPr>
        <w:t xml:space="preserve"> тыс.рублей,</w:t>
      </w:r>
      <w:r>
        <w:rPr>
          <w:b/>
          <w:bCs/>
        </w:rPr>
        <w:t xml:space="preserve"> </w:t>
      </w:r>
      <w:r w:rsidRPr="0072095E">
        <w:rPr>
          <w:b/>
          <w:bCs/>
        </w:rPr>
        <w:t xml:space="preserve">или </w:t>
      </w:r>
      <w:r w:rsidR="00D51F5E">
        <w:rPr>
          <w:b/>
          <w:bCs/>
        </w:rPr>
        <w:t>7,3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D51F5E">
        <w:rPr>
          <w:b/>
        </w:rPr>
        <w:t>12 329,9</w:t>
      </w:r>
      <w:r w:rsidRPr="0072095E">
        <w:rPr>
          <w:b/>
        </w:rPr>
        <w:t xml:space="preserve"> тыс.рублей,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D51F5E">
        <w:t>7242,1</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D51F5E">
        <w:rPr>
          <w:b/>
        </w:rPr>
        <w:t>12 709,1</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D51F5E">
        <w:rPr>
          <w:b/>
        </w:rPr>
        <w:t>306</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D51F5E">
        <w:rPr>
          <w:b/>
          <w:bCs/>
        </w:rPr>
        <w:t>379,2</w:t>
      </w:r>
      <w:r>
        <w:rPr>
          <w:b/>
          <w:bCs/>
        </w:rPr>
        <w:t xml:space="preserve"> тыс. рублей, или </w:t>
      </w:r>
      <w:r w:rsidR="00D51F5E">
        <w:rPr>
          <w:b/>
          <w:bCs/>
        </w:rPr>
        <w:t>7,5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D51F5E">
        <w:rPr>
          <w:b/>
        </w:rPr>
        <w:t xml:space="preserve">12 535,8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D51F5E">
        <w:t>7447,6</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D51F5E">
        <w:rPr>
          <w:b/>
        </w:rPr>
        <w:t xml:space="preserve">12 901,7 </w:t>
      </w:r>
      <w:r w:rsidRPr="0072095E">
        <w:rPr>
          <w:b/>
        </w:rPr>
        <w:t xml:space="preserve">тыс. рублей, в том числе условно утвержденные расходы в сумме </w:t>
      </w:r>
      <w:r w:rsidR="00D51F5E">
        <w:rPr>
          <w:b/>
        </w:rPr>
        <w:t>621</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4C295B">
        <w:rPr>
          <w:b/>
          <w:bCs/>
        </w:rPr>
        <w:t>365,9</w:t>
      </w:r>
      <w:r>
        <w:rPr>
          <w:b/>
          <w:bCs/>
        </w:rPr>
        <w:t xml:space="preserve"> </w:t>
      </w:r>
      <w:r w:rsidRPr="0072095E">
        <w:rPr>
          <w:b/>
          <w:bCs/>
        </w:rPr>
        <w:t xml:space="preserve">тыс. рублей, или </w:t>
      </w:r>
      <w:r w:rsidR="004C295B">
        <w:rPr>
          <w:b/>
          <w:bCs/>
        </w:rPr>
        <w:t>7,2</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E72661" w:rsidRPr="0067155B">
        <w:t>20</w:t>
      </w:r>
      <w:r w:rsidR="00E72661">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4C295B">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w:t>
        </w:r>
        <w:r w:rsidR="004C295B">
          <w:rPr>
            <w:rFonts w:ascii="Times New Roman" w:hAnsi="Times New Roman" w:cs="Times New Roman"/>
            <w:sz w:val="24"/>
            <w:szCs w:val="24"/>
          </w:rPr>
          <w:t>2</w:t>
        </w:r>
        <w:r w:rsidRPr="00E642A2">
          <w:rPr>
            <w:rFonts w:ascii="Times New Roman" w:hAnsi="Times New Roman" w:cs="Times New Roman"/>
            <w:sz w:val="24"/>
            <w:szCs w:val="24"/>
          </w:rPr>
          <w:t xml:space="preserve">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 xml:space="preserve">(пункт 19)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7C2B53">
        <w:rPr>
          <w:b w:val="0"/>
          <w:sz w:val="24"/>
          <w:szCs w:val="24"/>
        </w:rPr>
        <w:t>Чиканского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A92D22">
        <w:rPr>
          <w:b w:val="0"/>
          <w:sz w:val="24"/>
          <w:szCs w:val="24"/>
        </w:rPr>
        <w:t>370,2</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7C2B53">
        <w:rPr>
          <w:b w:val="0"/>
          <w:sz w:val="24"/>
          <w:szCs w:val="24"/>
        </w:rPr>
        <w:t>Чиканского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A92D22">
        <w:rPr>
          <w:b w:val="0"/>
          <w:sz w:val="24"/>
          <w:szCs w:val="24"/>
        </w:rPr>
        <w:t>749,4</w:t>
      </w:r>
      <w:r>
        <w:rPr>
          <w:b w:val="0"/>
          <w:sz w:val="24"/>
          <w:szCs w:val="24"/>
        </w:rPr>
        <w:t xml:space="preserve"> тыс. руб., в том числе верхний предел долга по муниципальным гарантиям </w:t>
      </w:r>
      <w:r w:rsidR="007C2B53">
        <w:rPr>
          <w:b w:val="0"/>
          <w:sz w:val="24"/>
          <w:szCs w:val="24"/>
        </w:rPr>
        <w:t>Чиканского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A92D22">
        <w:rPr>
          <w:b w:val="0"/>
          <w:sz w:val="24"/>
          <w:szCs w:val="24"/>
        </w:rPr>
        <w:t>1115,3</w:t>
      </w:r>
      <w:r>
        <w:rPr>
          <w:b w:val="0"/>
          <w:sz w:val="24"/>
          <w:szCs w:val="24"/>
        </w:rPr>
        <w:t xml:space="preserve"> тыс. руб., в том числе верхний предел долга по муниципальным гарантиям </w:t>
      </w:r>
      <w:r w:rsidR="007C2B53">
        <w:rPr>
          <w:b w:val="0"/>
          <w:sz w:val="24"/>
          <w:szCs w:val="24"/>
        </w:rPr>
        <w:t>Чиканского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 xml:space="preserve">(пункт 16)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897641">
        <w:t>3</w:t>
      </w:r>
      <w:r w:rsidR="005F1711" w:rsidRPr="005E06FA">
        <w:t>-202</w:t>
      </w:r>
      <w:r w:rsidR="00897641">
        <w:t>5</w:t>
      </w:r>
      <w:r w:rsidR="005F1711" w:rsidRPr="005E06FA">
        <w:t xml:space="preserve"> годы в размере </w:t>
      </w:r>
      <w:r w:rsidR="00A92D22">
        <w:t>0</w:t>
      </w:r>
      <w:r w:rsidR="005F1711" w:rsidRPr="005E06FA">
        <w:t xml:space="preserve">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18)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A92D22">
        <w:rPr>
          <w:color w:val="000000"/>
        </w:rPr>
        <w:t>385</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A92D22">
        <w:rPr>
          <w:color w:val="000000"/>
        </w:rPr>
        <w:t>428,2</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3"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A92D22">
        <w:rPr>
          <w:color w:val="000000"/>
        </w:rPr>
        <w:t>452,1</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3"/>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 xml:space="preserve">(пункт 17)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A92D22">
        <w:rPr>
          <w:color w:val="000000"/>
        </w:rPr>
        <w:t>15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7C2B53">
        <w:rPr>
          <w:b w:val="0"/>
          <w:sz w:val="24"/>
          <w:szCs w:val="24"/>
        </w:rPr>
        <w:t>Чиканским</w:t>
      </w:r>
      <w:r w:rsidRPr="000D7663">
        <w:rPr>
          <w:b w:val="0"/>
          <w:sz w:val="24"/>
          <w:szCs w:val="24"/>
        </w:rPr>
        <w:t xml:space="preserve"> 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7C2B53">
        <w:t>Чиканского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7C2B53">
        <w:t>Чиканского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5233,6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4742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5070,1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5087,8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5088,2</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7017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12371,9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7194,6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7242,1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pPr>
            <w:r>
              <w:t>7447,6</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rPr>
                <w:b/>
              </w:rPr>
            </w:pPr>
            <w:r>
              <w:rPr>
                <w:b/>
              </w:rPr>
              <w:t>12250,6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671963">
            <w:pPr>
              <w:ind w:left="-108" w:right="-108"/>
              <w:jc w:val="center"/>
              <w:rPr>
                <w:b/>
              </w:rPr>
            </w:pPr>
            <w:r>
              <w:rPr>
                <w:b/>
              </w:rPr>
              <w:t>17113,9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rPr>
                <w:b/>
              </w:rPr>
            </w:pPr>
            <w:r>
              <w:rPr>
                <w:b/>
              </w:rPr>
              <w:t>12264,7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rPr>
                <w:b/>
              </w:rPr>
            </w:pPr>
            <w:r>
              <w:rPr>
                <w:b/>
              </w:rPr>
              <w:t>12329,9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587F80" w:rsidP="0012595F">
            <w:pPr>
              <w:ind w:left="-108" w:right="-108"/>
              <w:jc w:val="center"/>
              <w:rPr>
                <w:b/>
              </w:rPr>
            </w:pPr>
            <w:r>
              <w:rPr>
                <w:b/>
              </w:rPr>
              <w:t>12535,8</w:t>
            </w:r>
          </w:p>
        </w:tc>
      </w:tr>
    </w:tbl>
    <w:p w:rsidR="00671963" w:rsidRDefault="00671963" w:rsidP="00671963">
      <w:pPr>
        <w:pStyle w:val="Default"/>
        <w:ind w:firstLine="567"/>
        <w:jc w:val="both"/>
        <w:rPr>
          <w:color w:val="auto"/>
        </w:rPr>
      </w:pPr>
    </w:p>
    <w:p w:rsidR="00671963" w:rsidRPr="00AD5AAD" w:rsidRDefault="00671963" w:rsidP="00671963">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rsidR="007C2B53">
        <w:t>Чиканского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587F80">
        <w:rPr>
          <w:bCs/>
          <w:color w:val="auto"/>
        </w:rPr>
        <w:t>17113,9</w:t>
      </w:r>
      <w:r w:rsidRPr="00AD5AAD">
        <w:rPr>
          <w:bCs/>
          <w:color w:val="auto"/>
        </w:rPr>
        <w:t xml:space="preserve"> тыс. рублей, что на </w:t>
      </w:r>
      <w:r w:rsidR="00587F80">
        <w:rPr>
          <w:bCs/>
          <w:color w:val="auto"/>
        </w:rPr>
        <w:t>4863,3</w:t>
      </w:r>
      <w:r w:rsidRPr="00AD5AAD">
        <w:rPr>
          <w:bCs/>
          <w:color w:val="auto"/>
        </w:rPr>
        <w:t xml:space="preserve"> </w:t>
      </w:r>
      <w:r w:rsidRPr="00AD5AAD">
        <w:rPr>
          <w:color w:val="auto"/>
        </w:rPr>
        <w:t>тыс.</w:t>
      </w:r>
      <w:r>
        <w:rPr>
          <w:color w:val="auto"/>
        </w:rPr>
        <w:t xml:space="preserve"> </w:t>
      </w:r>
      <w:r w:rsidRPr="00AD5AAD">
        <w:rPr>
          <w:color w:val="auto"/>
        </w:rPr>
        <w:t>рублей (+</w:t>
      </w:r>
      <w:r w:rsidR="00587F80">
        <w:rPr>
          <w:color w:val="auto"/>
        </w:rPr>
        <w:t>39,7</w:t>
      </w:r>
      <w:r w:rsidRPr="00AD5AAD">
        <w:rPr>
          <w:color w:val="auto"/>
        </w:rPr>
        <w:t>%) больше фактических поступлений за 202</w:t>
      </w:r>
      <w:r>
        <w:rPr>
          <w:color w:val="auto"/>
        </w:rPr>
        <w:t>1</w:t>
      </w:r>
      <w:r w:rsidRPr="00AD5AAD">
        <w:rPr>
          <w:color w:val="auto"/>
        </w:rPr>
        <w:t xml:space="preserve"> год.</w:t>
      </w:r>
    </w:p>
    <w:p w:rsidR="00671963" w:rsidRDefault="00671963" w:rsidP="00671963">
      <w:pPr>
        <w:pStyle w:val="Default"/>
        <w:ind w:firstLine="567"/>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587F80">
        <w:rPr>
          <w:bCs/>
          <w:color w:val="auto"/>
        </w:rPr>
        <w:t>12264,7</w:t>
      </w:r>
      <w:r w:rsidRPr="00AD5AAD">
        <w:rPr>
          <w:bCs/>
          <w:color w:val="auto"/>
        </w:rPr>
        <w:t xml:space="preserve"> тыс.</w:t>
      </w:r>
      <w:r>
        <w:rPr>
          <w:bCs/>
          <w:color w:val="auto"/>
        </w:rPr>
        <w:t xml:space="preserve"> </w:t>
      </w:r>
      <w:r w:rsidRPr="00AD5AAD">
        <w:rPr>
          <w:color w:val="auto"/>
        </w:rPr>
        <w:t xml:space="preserve">рублей, что на </w:t>
      </w:r>
      <w:r w:rsidR="00587F80">
        <w:rPr>
          <w:color w:val="auto"/>
        </w:rPr>
        <w:t>4849,2</w:t>
      </w:r>
      <w:r w:rsidRPr="00AD5AAD">
        <w:rPr>
          <w:color w:val="auto"/>
        </w:rPr>
        <w:t xml:space="preserve"> тыс. рублей (-</w:t>
      </w:r>
      <w:r w:rsidR="00587F80">
        <w:rPr>
          <w:color w:val="auto"/>
        </w:rPr>
        <w:t>28,3</w:t>
      </w:r>
      <w:r w:rsidRPr="00AD5AAD">
        <w:rPr>
          <w:color w:val="auto"/>
        </w:rPr>
        <w:t>%) меньше ожидаемых поступлений 202</w:t>
      </w:r>
      <w:r>
        <w:rPr>
          <w:color w:val="auto"/>
        </w:rPr>
        <w:t>2</w:t>
      </w:r>
      <w:r w:rsidRPr="00AD5AAD">
        <w:rPr>
          <w:color w:val="auto"/>
        </w:rPr>
        <w:t xml:space="preserve"> года, налоговые и неналоговые доходы составят </w:t>
      </w:r>
      <w:r w:rsidR="00587F80">
        <w:rPr>
          <w:color w:val="auto"/>
        </w:rPr>
        <w:t>5070,1</w:t>
      </w:r>
      <w:r w:rsidRPr="00AD5AAD">
        <w:rPr>
          <w:color w:val="auto"/>
        </w:rPr>
        <w:t xml:space="preserve"> тыс. рублей, что на </w:t>
      </w:r>
      <w:r w:rsidR="00587F80">
        <w:rPr>
          <w:color w:val="auto"/>
        </w:rPr>
        <w:t>328,1</w:t>
      </w:r>
      <w:r w:rsidRPr="00AD5AAD">
        <w:rPr>
          <w:color w:val="auto"/>
        </w:rPr>
        <w:t xml:space="preserve"> </w:t>
      </w:r>
      <w:r w:rsidR="00587F80">
        <w:rPr>
          <w:color w:val="auto"/>
        </w:rPr>
        <w:t>тыс. рублей (+6,9</w:t>
      </w:r>
      <w:r w:rsidRPr="00AD5AAD">
        <w:rPr>
          <w:color w:val="auto"/>
        </w:rPr>
        <w:t xml:space="preserve">%) </w:t>
      </w:r>
      <w:r w:rsidR="00587F80">
        <w:rPr>
          <w:color w:val="auto"/>
        </w:rPr>
        <w:t>больше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587F80">
        <w:t>12329,9</w:t>
      </w:r>
      <w:r w:rsidRPr="00AD5AAD">
        <w:t xml:space="preserve"> тыс. рублей, что на </w:t>
      </w:r>
      <w:r w:rsidR="00587F80">
        <w:t>65,2 тыс. рублей (+0,5</w:t>
      </w:r>
      <w:r w:rsidRPr="00AD5AAD">
        <w:t xml:space="preserve">%) </w:t>
      </w:r>
      <w:r w:rsidR="00587F80">
        <w:t>больше</w:t>
      </w:r>
      <w:r w:rsidRPr="00AD5AAD">
        <w:t xml:space="preserve"> прогнозируемых поступлений в 202</w:t>
      </w:r>
      <w:r>
        <w:t>3</w:t>
      </w:r>
      <w:r w:rsidRPr="00AD5AAD">
        <w:t xml:space="preserve"> году, налоговые и неналоговые доходы составят </w:t>
      </w:r>
      <w:r w:rsidR="00587F80">
        <w:t>5087,8</w:t>
      </w:r>
      <w:r w:rsidRPr="00AD5AAD">
        <w:t xml:space="preserve"> тыс.</w:t>
      </w:r>
      <w:r>
        <w:t xml:space="preserve"> </w:t>
      </w:r>
      <w:r w:rsidRPr="00AD5AAD">
        <w:t xml:space="preserve">рублей, что на </w:t>
      </w:r>
      <w:r w:rsidR="00587F80">
        <w:t>17,7</w:t>
      </w:r>
      <w:r w:rsidRPr="00AD5AAD">
        <w:t xml:space="preserve"> тыс.</w:t>
      </w:r>
      <w:r>
        <w:t xml:space="preserve"> </w:t>
      </w:r>
      <w:r w:rsidRPr="00AD5AAD">
        <w:t>рублей (+</w:t>
      </w:r>
      <w:r w:rsidR="00587F80">
        <w:t>0,3</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587F80">
        <w:t>12535,8</w:t>
      </w:r>
      <w:r w:rsidRPr="00AD5AAD">
        <w:t xml:space="preserve"> тыс. рублей, </w:t>
      </w:r>
      <w:r w:rsidR="00587F80">
        <w:t>с ростом</w:t>
      </w:r>
      <w:r w:rsidRPr="00AD5AAD">
        <w:t xml:space="preserve"> на </w:t>
      </w:r>
      <w:r w:rsidR="00587F80">
        <w:t>205,9</w:t>
      </w:r>
      <w:r w:rsidR="00775FF4">
        <w:t xml:space="preserve"> тыс. рублей (+</w:t>
      </w:r>
      <w:r w:rsidR="00587F80">
        <w:t>1,7</w:t>
      </w:r>
      <w:r w:rsidRPr="00AD5AAD">
        <w:t>%)</w:t>
      </w:r>
      <w:r>
        <w:t xml:space="preserve"> </w:t>
      </w:r>
      <w:r w:rsidR="00587F80">
        <w:t>к</w:t>
      </w:r>
      <w:r w:rsidRPr="00AD5AAD">
        <w:t xml:space="preserve"> прогнозируемы</w:t>
      </w:r>
      <w:r w:rsidR="00587F80">
        <w:t>м</w:t>
      </w:r>
      <w:r w:rsidRPr="00AD5AAD">
        <w:t xml:space="preserve"> поступлени</w:t>
      </w:r>
      <w:r w:rsidR="00587F80">
        <w:t>ям</w:t>
      </w:r>
      <w:r w:rsidRPr="00AD5AAD">
        <w:t xml:space="preserve"> в 202</w:t>
      </w:r>
      <w:r>
        <w:t>4</w:t>
      </w:r>
      <w:r w:rsidRPr="00AD5AAD">
        <w:t xml:space="preserve"> году, налоговые и неналоговые доходы составят </w:t>
      </w:r>
      <w:r w:rsidR="00587F80">
        <w:t>5088,2</w:t>
      </w:r>
      <w:r w:rsidRPr="00AD5AAD">
        <w:t xml:space="preserve"> тыс. рублей, что на </w:t>
      </w:r>
      <w:r w:rsidR="00F84607">
        <w:t>0,4</w:t>
      </w:r>
      <w:r w:rsidRPr="00AD5AAD">
        <w:t xml:space="preserve"> т</w:t>
      </w:r>
      <w:r>
        <w:t>ыс. рублей (+</w:t>
      </w:r>
      <w:r w:rsidR="00F84607">
        <w:t>0,01</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C606ED">
        <w:rPr>
          <w:color w:val="auto"/>
        </w:rPr>
        <w:t>5177,3</w:t>
      </w:r>
      <w:r w:rsidRPr="00AD5AAD">
        <w:rPr>
          <w:color w:val="auto"/>
        </w:rPr>
        <w:t xml:space="preserve"> тыс. рублей, или на </w:t>
      </w:r>
      <w:r w:rsidR="00C606ED">
        <w:rPr>
          <w:color w:val="auto"/>
        </w:rPr>
        <w:t>41,8</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C606ED">
        <w:rPr>
          <w:color w:val="auto"/>
        </w:rPr>
        <w:t>7242,1</w:t>
      </w:r>
      <w:r w:rsidRPr="00AD5AAD">
        <w:rPr>
          <w:color w:val="auto"/>
        </w:rPr>
        <w:t xml:space="preserve"> тыс. рублей, что на </w:t>
      </w:r>
      <w:r w:rsidR="00C606ED">
        <w:rPr>
          <w:color w:val="auto"/>
        </w:rPr>
        <w:t>47,5 тыс. рублей (+0,7</w:t>
      </w:r>
      <w:r w:rsidRPr="00AD5AAD">
        <w:rPr>
          <w:color w:val="auto"/>
        </w:rPr>
        <w:t xml:space="preserve">%) </w:t>
      </w:r>
      <w:r w:rsidR="00C606ED">
        <w:rPr>
          <w:color w:val="auto"/>
        </w:rPr>
        <w:t>больше</w:t>
      </w:r>
      <w:r w:rsidRPr="00AD5AAD">
        <w:rPr>
          <w:color w:val="auto"/>
        </w:rPr>
        <w:t xml:space="preserve">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C606ED">
        <w:rPr>
          <w:color w:val="auto"/>
        </w:rPr>
        <w:t>7447,6</w:t>
      </w:r>
      <w:r w:rsidRPr="00AD5AAD">
        <w:rPr>
          <w:color w:val="auto"/>
        </w:rPr>
        <w:t xml:space="preserve"> тыс. рублей, </w:t>
      </w:r>
      <w:r w:rsidR="00C606ED">
        <w:rPr>
          <w:color w:val="auto"/>
        </w:rPr>
        <w:t>с ростом</w:t>
      </w:r>
      <w:r w:rsidRPr="00AD5AAD">
        <w:rPr>
          <w:color w:val="auto"/>
        </w:rPr>
        <w:t xml:space="preserve"> на </w:t>
      </w:r>
      <w:r w:rsidR="00C606ED">
        <w:rPr>
          <w:color w:val="auto"/>
        </w:rPr>
        <w:t>205,5</w:t>
      </w:r>
      <w:r w:rsidRPr="00AD5AAD">
        <w:rPr>
          <w:color w:val="auto"/>
        </w:rPr>
        <w:t xml:space="preserve"> тыс. рублей (</w:t>
      </w:r>
      <w:r w:rsidR="00775FF4">
        <w:rPr>
          <w:color w:val="auto"/>
        </w:rPr>
        <w:t>+</w:t>
      </w:r>
      <w:r w:rsidR="00C606ED">
        <w:rPr>
          <w:color w:val="auto"/>
        </w:rPr>
        <w:t>2,8</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7C2B53" w:rsidP="00815514">
      <w:pPr>
        <w:widowControl w:val="0"/>
        <w:numPr>
          <w:ilvl w:val="12"/>
          <w:numId w:val="0"/>
        </w:numPr>
        <w:ind w:firstLine="720"/>
        <w:jc w:val="center"/>
      </w:pPr>
      <w:r>
        <w:t>Чиканского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7C2B53">
        <w:rPr>
          <w:rFonts w:eastAsia="Calibri"/>
        </w:rPr>
        <w:t>Чиканского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4A31DB">
        <w:rPr>
          <w:rFonts w:eastAsia="Calibri"/>
        </w:rPr>
        <w:t>12264,7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4A31DB">
        <w:rPr>
          <w:rFonts w:eastAsia="Calibri"/>
        </w:rPr>
        <w:t>5070,1</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4A31DB">
        <w:rPr>
          <w:rFonts w:eastAsia="Calibri"/>
        </w:rPr>
        <w:t>41,3</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4A31DB">
        <w:rPr>
          <w:rFonts w:eastAsia="Calibri"/>
        </w:rPr>
        <w:t>7194,6</w:t>
      </w:r>
      <w:r w:rsidRPr="00D972AF">
        <w:rPr>
          <w:rFonts w:eastAsia="Calibri"/>
        </w:rPr>
        <w:t xml:space="preserve"> тыс. руб</w:t>
      </w:r>
      <w:r>
        <w:rPr>
          <w:rFonts w:eastAsia="Calibri"/>
        </w:rPr>
        <w:t>лей,</w:t>
      </w:r>
      <w:r w:rsidRPr="00D972AF">
        <w:rPr>
          <w:rFonts w:eastAsia="Calibri"/>
        </w:rPr>
        <w:t xml:space="preserve"> или </w:t>
      </w:r>
      <w:r w:rsidR="004A31DB">
        <w:rPr>
          <w:rFonts w:eastAsia="Calibri"/>
        </w:rPr>
        <w:t>58,7</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4A31DB">
        <w:rPr>
          <w:rFonts w:eastAsia="Calibri"/>
        </w:rPr>
        <w:t>12329,9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4A31DB">
        <w:rPr>
          <w:rFonts w:eastAsia="Calibri"/>
        </w:rPr>
        <w:t>5087,8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4A31DB">
        <w:rPr>
          <w:rFonts w:eastAsia="Calibri"/>
        </w:rPr>
        <w:t>41,3</w:t>
      </w:r>
      <w:r w:rsidR="00B139DA" w:rsidRPr="00D972AF">
        <w:rPr>
          <w:rFonts w:eastAsia="Calibri"/>
        </w:rPr>
        <w:t xml:space="preserve">%), безвозмездные поступления – </w:t>
      </w:r>
      <w:r w:rsidR="004A31DB">
        <w:rPr>
          <w:rFonts w:eastAsia="Calibri"/>
        </w:rPr>
        <w:t>7242,1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4A31DB">
        <w:rPr>
          <w:rFonts w:eastAsia="Calibri"/>
        </w:rPr>
        <w:t>58,7</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4A31DB">
        <w:rPr>
          <w:rFonts w:eastAsia="Calibri"/>
        </w:rPr>
        <w:t>12535,8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C27ACC">
        <w:rPr>
          <w:rFonts w:eastAsia="Calibri"/>
        </w:rPr>
        <w:t>5088,2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C27ACC">
        <w:rPr>
          <w:rFonts w:eastAsia="Calibri"/>
        </w:rPr>
        <w:t>40,6</w:t>
      </w:r>
      <w:r w:rsidR="00B139DA" w:rsidRPr="00D972AF">
        <w:rPr>
          <w:rFonts w:eastAsia="Calibri"/>
        </w:rPr>
        <w:t xml:space="preserve">%), безвозмездные поступления </w:t>
      </w:r>
      <w:r w:rsidR="00B139DA">
        <w:rPr>
          <w:rFonts w:eastAsia="Calibri"/>
        </w:rPr>
        <w:t xml:space="preserve">– </w:t>
      </w:r>
      <w:r w:rsidR="00C27ACC">
        <w:rPr>
          <w:rFonts w:eastAsia="Calibri"/>
        </w:rPr>
        <w:t>7447,6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C27ACC">
        <w:rPr>
          <w:rFonts w:eastAsia="Calibri"/>
        </w:rPr>
        <w:t>59,4</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7062F6" w:rsidRPr="00466605" w:rsidTr="007062F6">
        <w:tc>
          <w:tcPr>
            <w:tcW w:w="3652" w:type="dxa"/>
          </w:tcPr>
          <w:p w:rsidR="007062F6" w:rsidRPr="00C064DB" w:rsidRDefault="007062F6" w:rsidP="0031390C">
            <w:pPr>
              <w:widowControl w:val="0"/>
              <w:numPr>
                <w:ilvl w:val="12"/>
                <w:numId w:val="0"/>
              </w:numPr>
              <w:rPr>
                <w:b/>
                <w:sz w:val="18"/>
                <w:szCs w:val="18"/>
              </w:rPr>
            </w:pPr>
            <w:r>
              <w:rPr>
                <w:b/>
                <w:sz w:val="18"/>
                <w:szCs w:val="18"/>
              </w:rPr>
              <w:t>ВСЕГО ДОХОДОВ</w:t>
            </w:r>
          </w:p>
        </w:tc>
        <w:tc>
          <w:tcPr>
            <w:tcW w:w="992" w:type="dxa"/>
            <w:vAlign w:val="center"/>
          </w:tcPr>
          <w:p w:rsidR="007062F6" w:rsidRPr="001F1DA0" w:rsidRDefault="007062F6" w:rsidP="0031390C">
            <w:pPr>
              <w:widowControl w:val="0"/>
              <w:numPr>
                <w:ilvl w:val="12"/>
                <w:numId w:val="0"/>
              </w:numPr>
              <w:jc w:val="center"/>
              <w:rPr>
                <w:b/>
                <w:sz w:val="20"/>
                <w:szCs w:val="20"/>
              </w:rPr>
            </w:pPr>
            <w:r>
              <w:rPr>
                <w:b/>
                <w:sz w:val="20"/>
                <w:szCs w:val="20"/>
              </w:rPr>
              <w:t>17113,9</w:t>
            </w:r>
          </w:p>
        </w:tc>
        <w:tc>
          <w:tcPr>
            <w:tcW w:w="992" w:type="dxa"/>
            <w:vAlign w:val="center"/>
          </w:tcPr>
          <w:p w:rsidR="007062F6" w:rsidRPr="001F1DA0" w:rsidRDefault="007062F6" w:rsidP="0031390C">
            <w:pPr>
              <w:widowControl w:val="0"/>
              <w:numPr>
                <w:ilvl w:val="12"/>
                <w:numId w:val="0"/>
              </w:numPr>
              <w:jc w:val="center"/>
              <w:rPr>
                <w:b/>
                <w:sz w:val="20"/>
                <w:szCs w:val="20"/>
              </w:rPr>
            </w:pPr>
            <w:r>
              <w:rPr>
                <w:b/>
                <w:sz w:val="20"/>
                <w:szCs w:val="20"/>
              </w:rPr>
              <w:t>12264,7</w:t>
            </w:r>
          </w:p>
        </w:tc>
        <w:tc>
          <w:tcPr>
            <w:tcW w:w="992" w:type="dxa"/>
            <w:vAlign w:val="center"/>
          </w:tcPr>
          <w:p w:rsidR="007062F6" w:rsidRPr="007062F6" w:rsidRDefault="007062F6" w:rsidP="007062F6">
            <w:pPr>
              <w:jc w:val="center"/>
              <w:rPr>
                <w:b/>
                <w:sz w:val="20"/>
                <w:szCs w:val="20"/>
              </w:rPr>
            </w:pPr>
            <w:r w:rsidRPr="007062F6">
              <w:rPr>
                <w:b/>
                <w:sz w:val="20"/>
                <w:szCs w:val="20"/>
              </w:rPr>
              <w:t>-4849,2</w:t>
            </w:r>
          </w:p>
        </w:tc>
        <w:tc>
          <w:tcPr>
            <w:tcW w:w="992" w:type="dxa"/>
            <w:vAlign w:val="center"/>
          </w:tcPr>
          <w:p w:rsidR="007062F6" w:rsidRPr="007062F6" w:rsidRDefault="007062F6" w:rsidP="007062F6">
            <w:pPr>
              <w:jc w:val="center"/>
              <w:rPr>
                <w:b/>
                <w:sz w:val="20"/>
                <w:szCs w:val="20"/>
              </w:rPr>
            </w:pPr>
            <w:r w:rsidRPr="007062F6">
              <w:rPr>
                <w:b/>
                <w:sz w:val="20"/>
                <w:szCs w:val="20"/>
              </w:rPr>
              <w:t>71,7</w:t>
            </w:r>
          </w:p>
        </w:tc>
        <w:tc>
          <w:tcPr>
            <w:tcW w:w="992" w:type="dxa"/>
            <w:vAlign w:val="center"/>
          </w:tcPr>
          <w:p w:rsidR="007062F6" w:rsidRPr="001F1DA0" w:rsidRDefault="007062F6" w:rsidP="003831EF">
            <w:pPr>
              <w:tabs>
                <w:tab w:val="left" w:pos="9923"/>
              </w:tabs>
              <w:ind w:right="-3"/>
              <w:jc w:val="center"/>
              <w:rPr>
                <w:b/>
                <w:sz w:val="20"/>
                <w:szCs w:val="20"/>
              </w:rPr>
            </w:pPr>
            <w:r>
              <w:rPr>
                <w:b/>
                <w:sz w:val="20"/>
                <w:szCs w:val="20"/>
              </w:rPr>
              <w:t>12329,9</w:t>
            </w:r>
          </w:p>
        </w:tc>
        <w:tc>
          <w:tcPr>
            <w:tcW w:w="992" w:type="dxa"/>
            <w:vAlign w:val="center"/>
          </w:tcPr>
          <w:p w:rsidR="007062F6" w:rsidRPr="001F1DA0" w:rsidRDefault="007062F6" w:rsidP="003831EF">
            <w:pPr>
              <w:jc w:val="center"/>
              <w:rPr>
                <w:b/>
                <w:sz w:val="20"/>
                <w:szCs w:val="20"/>
              </w:rPr>
            </w:pPr>
            <w:r>
              <w:rPr>
                <w:b/>
                <w:sz w:val="20"/>
                <w:szCs w:val="20"/>
              </w:rPr>
              <w:t>12535,8</w:t>
            </w:r>
          </w:p>
        </w:tc>
      </w:tr>
      <w:tr w:rsidR="007062F6" w:rsidRPr="00466605" w:rsidTr="007062F6">
        <w:tc>
          <w:tcPr>
            <w:tcW w:w="3652" w:type="dxa"/>
          </w:tcPr>
          <w:p w:rsidR="007062F6" w:rsidRPr="00F6314F" w:rsidRDefault="007062F6"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7062F6" w:rsidRPr="00F6314F" w:rsidRDefault="007062F6" w:rsidP="0031390C">
            <w:pPr>
              <w:widowControl w:val="0"/>
              <w:numPr>
                <w:ilvl w:val="12"/>
                <w:numId w:val="0"/>
              </w:numPr>
              <w:jc w:val="center"/>
              <w:rPr>
                <w:b/>
                <w:sz w:val="20"/>
                <w:szCs w:val="20"/>
              </w:rPr>
            </w:pPr>
            <w:r>
              <w:rPr>
                <w:b/>
                <w:sz w:val="20"/>
                <w:szCs w:val="20"/>
              </w:rPr>
              <w:t>4742</w:t>
            </w:r>
          </w:p>
        </w:tc>
        <w:tc>
          <w:tcPr>
            <w:tcW w:w="992" w:type="dxa"/>
            <w:vAlign w:val="center"/>
          </w:tcPr>
          <w:p w:rsidR="007062F6" w:rsidRPr="00F6314F" w:rsidRDefault="007062F6" w:rsidP="0031390C">
            <w:pPr>
              <w:widowControl w:val="0"/>
              <w:numPr>
                <w:ilvl w:val="12"/>
                <w:numId w:val="0"/>
              </w:numPr>
              <w:jc w:val="center"/>
              <w:rPr>
                <w:b/>
                <w:sz w:val="20"/>
                <w:szCs w:val="20"/>
              </w:rPr>
            </w:pPr>
            <w:r>
              <w:rPr>
                <w:b/>
                <w:sz w:val="20"/>
                <w:szCs w:val="20"/>
              </w:rPr>
              <w:t>5070,1</w:t>
            </w:r>
          </w:p>
        </w:tc>
        <w:tc>
          <w:tcPr>
            <w:tcW w:w="992" w:type="dxa"/>
            <w:vAlign w:val="center"/>
          </w:tcPr>
          <w:p w:rsidR="007062F6" w:rsidRPr="007062F6" w:rsidRDefault="007062F6" w:rsidP="007062F6">
            <w:pPr>
              <w:jc w:val="center"/>
              <w:rPr>
                <w:b/>
                <w:sz w:val="20"/>
                <w:szCs w:val="20"/>
              </w:rPr>
            </w:pPr>
            <w:r w:rsidRPr="007062F6">
              <w:rPr>
                <w:b/>
                <w:sz w:val="20"/>
                <w:szCs w:val="20"/>
              </w:rPr>
              <w:t>328,1</w:t>
            </w:r>
          </w:p>
        </w:tc>
        <w:tc>
          <w:tcPr>
            <w:tcW w:w="992" w:type="dxa"/>
            <w:vAlign w:val="center"/>
          </w:tcPr>
          <w:p w:rsidR="007062F6" w:rsidRPr="007062F6" w:rsidRDefault="007062F6" w:rsidP="007062F6">
            <w:pPr>
              <w:jc w:val="center"/>
              <w:rPr>
                <w:b/>
                <w:sz w:val="20"/>
                <w:szCs w:val="20"/>
              </w:rPr>
            </w:pPr>
            <w:r w:rsidRPr="007062F6">
              <w:rPr>
                <w:b/>
                <w:sz w:val="20"/>
                <w:szCs w:val="20"/>
              </w:rPr>
              <w:t>106,9</w:t>
            </w:r>
          </w:p>
        </w:tc>
        <w:tc>
          <w:tcPr>
            <w:tcW w:w="992" w:type="dxa"/>
            <w:vAlign w:val="center"/>
          </w:tcPr>
          <w:p w:rsidR="007062F6" w:rsidRPr="00F6314F" w:rsidRDefault="007062F6" w:rsidP="003831EF">
            <w:pPr>
              <w:tabs>
                <w:tab w:val="left" w:pos="9923"/>
              </w:tabs>
              <w:ind w:right="-3"/>
              <w:jc w:val="center"/>
              <w:rPr>
                <w:b/>
                <w:sz w:val="20"/>
                <w:szCs w:val="20"/>
              </w:rPr>
            </w:pPr>
            <w:r>
              <w:rPr>
                <w:b/>
                <w:sz w:val="20"/>
                <w:szCs w:val="20"/>
              </w:rPr>
              <w:t>5087,8</w:t>
            </w:r>
          </w:p>
        </w:tc>
        <w:tc>
          <w:tcPr>
            <w:tcW w:w="992" w:type="dxa"/>
            <w:vAlign w:val="center"/>
          </w:tcPr>
          <w:p w:rsidR="007062F6" w:rsidRPr="00F6314F" w:rsidRDefault="007062F6" w:rsidP="003831EF">
            <w:pPr>
              <w:jc w:val="center"/>
              <w:rPr>
                <w:b/>
                <w:sz w:val="20"/>
                <w:szCs w:val="20"/>
              </w:rPr>
            </w:pPr>
            <w:r>
              <w:rPr>
                <w:b/>
                <w:sz w:val="20"/>
                <w:szCs w:val="20"/>
              </w:rPr>
              <w:t>5088,2</w:t>
            </w:r>
          </w:p>
        </w:tc>
      </w:tr>
      <w:tr w:rsidR="007062F6" w:rsidRPr="00466605" w:rsidTr="007062F6">
        <w:tc>
          <w:tcPr>
            <w:tcW w:w="3652" w:type="dxa"/>
            <w:vAlign w:val="center"/>
          </w:tcPr>
          <w:p w:rsidR="007062F6" w:rsidRPr="003831EF" w:rsidRDefault="007062F6"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7062F6" w:rsidRPr="003831EF" w:rsidRDefault="007062F6" w:rsidP="0039796A">
            <w:pPr>
              <w:widowControl w:val="0"/>
              <w:numPr>
                <w:ilvl w:val="12"/>
                <w:numId w:val="0"/>
              </w:numPr>
              <w:jc w:val="center"/>
              <w:rPr>
                <w:sz w:val="20"/>
                <w:szCs w:val="20"/>
              </w:rPr>
            </w:pPr>
            <w:r>
              <w:rPr>
                <w:sz w:val="20"/>
                <w:szCs w:val="20"/>
              </w:rPr>
              <w:t>4667,6</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5001,1</w:t>
            </w:r>
          </w:p>
        </w:tc>
        <w:tc>
          <w:tcPr>
            <w:tcW w:w="992" w:type="dxa"/>
            <w:vAlign w:val="center"/>
          </w:tcPr>
          <w:p w:rsidR="007062F6" w:rsidRPr="007062F6" w:rsidRDefault="007062F6" w:rsidP="007062F6">
            <w:pPr>
              <w:jc w:val="center"/>
              <w:rPr>
                <w:sz w:val="20"/>
                <w:szCs w:val="20"/>
              </w:rPr>
            </w:pPr>
            <w:r w:rsidRPr="007062F6">
              <w:rPr>
                <w:sz w:val="20"/>
                <w:szCs w:val="20"/>
              </w:rPr>
              <w:t>333,5</w:t>
            </w:r>
          </w:p>
        </w:tc>
        <w:tc>
          <w:tcPr>
            <w:tcW w:w="992" w:type="dxa"/>
            <w:vAlign w:val="center"/>
          </w:tcPr>
          <w:p w:rsidR="007062F6" w:rsidRPr="007062F6" w:rsidRDefault="007062F6" w:rsidP="007062F6">
            <w:pPr>
              <w:jc w:val="center"/>
              <w:rPr>
                <w:sz w:val="20"/>
                <w:szCs w:val="20"/>
              </w:rPr>
            </w:pPr>
            <w:r w:rsidRPr="007062F6">
              <w:rPr>
                <w:sz w:val="20"/>
                <w:szCs w:val="20"/>
              </w:rPr>
              <w:t>107,1</w:t>
            </w:r>
          </w:p>
        </w:tc>
        <w:tc>
          <w:tcPr>
            <w:tcW w:w="992" w:type="dxa"/>
            <w:vAlign w:val="center"/>
          </w:tcPr>
          <w:p w:rsidR="007062F6" w:rsidRPr="003831EF" w:rsidRDefault="007062F6" w:rsidP="003831EF">
            <w:pPr>
              <w:tabs>
                <w:tab w:val="left" w:pos="9923"/>
              </w:tabs>
              <w:ind w:right="-3"/>
              <w:jc w:val="center"/>
              <w:rPr>
                <w:sz w:val="20"/>
                <w:szCs w:val="20"/>
              </w:rPr>
            </w:pPr>
            <w:r>
              <w:rPr>
                <w:sz w:val="20"/>
                <w:szCs w:val="20"/>
              </w:rPr>
              <w:t>5044,3</w:t>
            </w:r>
          </w:p>
        </w:tc>
        <w:tc>
          <w:tcPr>
            <w:tcW w:w="992" w:type="dxa"/>
            <w:vAlign w:val="center"/>
          </w:tcPr>
          <w:p w:rsidR="007062F6" w:rsidRPr="003831EF" w:rsidRDefault="007062F6" w:rsidP="003831EF">
            <w:pPr>
              <w:jc w:val="center"/>
              <w:rPr>
                <w:sz w:val="20"/>
                <w:szCs w:val="20"/>
              </w:rPr>
            </w:pPr>
            <w:r>
              <w:rPr>
                <w:sz w:val="20"/>
                <w:szCs w:val="20"/>
              </w:rPr>
              <w:t>5068,2</w:t>
            </w:r>
          </w:p>
        </w:tc>
      </w:tr>
      <w:tr w:rsidR="007062F6" w:rsidRPr="00466605" w:rsidTr="007062F6">
        <w:tc>
          <w:tcPr>
            <w:tcW w:w="3652" w:type="dxa"/>
            <w:vAlign w:val="center"/>
          </w:tcPr>
          <w:p w:rsidR="007062F6" w:rsidRPr="003831EF" w:rsidRDefault="007062F6"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700,4</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385</w:t>
            </w:r>
          </w:p>
        </w:tc>
        <w:tc>
          <w:tcPr>
            <w:tcW w:w="992" w:type="dxa"/>
            <w:vAlign w:val="center"/>
          </w:tcPr>
          <w:p w:rsidR="007062F6" w:rsidRPr="007062F6" w:rsidRDefault="007062F6" w:rsidP="007062F6">
            <w:pPr>
              <w:jc w:val="center"/>
              <w:rPr>
                <w:sz w:val="20"/>
                <w:szCs w:val="20"/>
              </w:rPr>
            </w:pPr>
            <w:r w:rsidRPr="007062F6">
              <w:rPr>
                <w:sz w:val="20"/>
                <w:szCs w:val="20"/>
              </w:rPr>
              <w:t>-315,4</w:t>
            </w:r>
          </w:p>
        </w:tc>
        <w:tc>
          <w:tcPr>
            <w:tcW w:w="992" w:type="dxa"/>
            <w:vAlign w:val="center"/>
          </w:tcPr>
          <w:p w:rsidR="007062F6" w:rsidRPr="007062F6" w:rsidRDefault="007062F6" w:rsidP="004C6486">
            <w:pPr>
              <w:jc w:val="center"/>
              <w:rPr>
                <w:sz w:val="20"/>
                <w:szCs w:val="20"/>
              </w:rPr>
            </w:pPr>
            <w:r w:rsidRPr="007062F6">
              <w:rPr>
                <w:sz w:val="20"/>
                <w:szCs w:val="20"/>
              </w:rPr>
              <w:t>55</w:t>
            </w:r>
          </w:p>
        </w:tc>
        <w:tc>
          <w:tcPr>
            <w:tcW w:w="992" w:type="dxa"/>
            <w:vAlign w:val="center"/>
          </w:tcPr>
          <w:p w:rsidR="007062F6" w:rsidRPr="003831EF" w:rsidRDefault="007062F6" w:rsidP="003831EF">
            <w:pPr>
              <w:tabs>
                <w:tab w:val="left" w:pos="9923"/>
              </w:tabs>
              <w:ind w:right="-3"/>
              <w:jc w:val="center"/>
              <w:rPr>
                <w:sz w:val="20"/>
                <w:szCs w:val="20"/>
              </w:rPr>
            </w:pPr>
            <w:r>
              <w:rPr>
                <w:sz w:val="20"/>
                <w:szCs w:val="20"/>
              </w:rPr>
              <w:t>428,2</w:t>
            </w:r>
          </w:p>
        </w:tc>
        <w:tc>
          <w:tcPr>
            <w:tcW w:w="992" w:type="dxa"/>
            <w:vAlign w:val="center"/>
          </w:tcPr>
          <w:p w:rsidR="007062F6" w:rsidRPr="003831EF" w:rsidRDefault="007062F6" w:rsidP="003831EF">
            <w:pPr>
              <w:jc w:val="center"/>
              <w:rPr>
                <w:sz w:val="20"/>
                <w:szCs w:val="20"/>
              </w:rPr>
            </w:pPr>
            <w:r>
              <w:rPr>
                <w:sz w:val="20"/>
                <w:szCs w:val="20"/>
              </w:rPr>
              <w:t>452,1</w:t>
            </w:r>
          </w:p>
        </w:tc>
      </w:tr>
      <w:tr w:rsidR="007062F6" w:rsidRPr="00466605" w:rsidTr="007062F6">
        <w:tc>
          <w:tcPr>
            <w:tcW w:w="3652" w:type="dxa"/>
            <w:vAlign w:val="center"/>
          </w:tcPr>
          <w:p w:rsidR="007062F6" w:rsidRPr="003831EF" w:rsidRDefault="007062F6" w:rsidP="0031390C">
            <w:pPr>
              <w:snapToGrid w:val="0"/>
              <w:rPr>
                <w:sz w:val="18"/>
                <w:szCs w:val="18"/>
              </w:rPr>
            </w:pPr>
            <w:r w:rsidRPr="003831EF">
              <w:rPr>
                <w:sz w:val="18"/>
                <w:szCs w:val="18"/>
              </w:rPr>
              <w:t>Налоги на имущество, в т.ч.:</w:t>
            </w:r>
          </w:p>
        </w:tc>
        <w:tc>
          <w:tcPr>
            <w:tcW w:w="992" w:type="dxa"/>
            <w:vAlign w:val="center"/>
          </w:tcPr>
          <w:p w:rsidR="007062F6" w:rsidRPr="003831EF" w:rsidRDefault="007062F6" w:rsidP="000806FB">
            <w:pPr>
              <w:widowControl w:val="0"/>
              <w:numPr>
                <w:ilvl w:val="12"/>
                <w:numId w:val="0"/>
              </w:numPr>
              <w:jc w:val="center"/>
              <w:rPr>
                <w:sz w:val="20"/>
                <w:szCs w:val="20"/>
              </w:rPr>
            </w:pPr>
            <w:r>
              <w:rPr>
                <w:sz w:val="20"/>
                <w:szCs w:val="20"/>
              </w:rPr>
              <w:t>192,2</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276,1</w:t>
            </w:r>
          </w:p>
        </w:tc>
        <w:tc>
          <w:tcPr>
            <w:tcW w:w="992" w:type="dxa"/>
            <w:vAlign w:val="center"/>
          </w:tcPr>
          <w:p w:rsidR="007062F6" w:rsidRPr="007062F6" w:rsidRDefault="007062F6" w:rsidP="007062F6">
            <w:pPr>
              <w:jc w:val="center"/>
              <w:rPr>
                <w:sz w:val="20"/>
                <w:szCs w:val="20"/>
              </w:rPr>
            </w:pPr>
            <w:r w:rsidRPr="007062F6">
              <w:rPr>
                <w:sz w:val="20"/>
                <w:szCs w:val="20"/>
              </w:rPr>
              <w:t>83,9</w:t>
            </w:r>
          </w:p>
        </w:tc>
        <w:tc>
          <w:tcPr>
            <w:tcW w:w="992" w:type="dxa"/>
            <w:vAlign w:val="center"/>
          </w:tcPr>
          <w:p w:rsidR="007062F6" w:rsidRPr="007062F6" w:rsidRDefault="007062F6" w:rsidP="007062F6">
            <w:pPr>
              <w:jc w:val="center"/>
              <w:rPr>
                <w:sz w:val="20"/>
                <w:szCs w:val="20"/>
              </w:rPr>
            </w:pPr>
            <w:r w:rsidRPr="007062F6">
              <w:rPr>
                <w:sz w:val="20"/>
                <w:szCs w:val="20"/>
              </w:rPr>
              <w:t>143,7</w:t>
            </w:r>
          </w:p>
        </w:tc>
        <w:tc>
          <w:tcPr>
            <w:tcW w:w="992" w:type="dxa"/>
            <w:vAlign w:val="center"/>
          </w:tcPr>
          <w:p w:rsidR="007062F6" w:rsidRPr="003831EF" w:rsidRDefault="007062F6" w:rsidP="003831EF">
            <w:pPr>
              <w:tabs>
                <w:tab w:val="left" w:pos="9923"/>
              </w:tabs>
              <w:ind w:right="-3"/>
              <w:jc w:val="center"/>
              <w:rPr>
                <w:sz w:val="20"/>
                <w:szCs w:val="20"/>
              </w:rPr>
            </w:pPr>
            <w:r>
              <w:rPr>
                <w:sz w:val="20"/>
                <w:szCs w:val="20"/>
              </w:rPr>
              <w:t>276,1</w:t>
            </w:r>
          </w:p>
        </w:tc>
        <w:tc>
          <w:tcPr>
            <w:tcW w:w="992" w:type="dxa"/>
            <w:vAlign w:val="center"/>
          </w:tcPr>
          <w:p w:rsidR="007062F6" w:rsidRPr="003831EF" w:rsidRDefault="007062F6" w:rsidP="003831EF">
            <w:pPr>
              <w:jc w:val="center"/>
              <w:rPr>
                <w:sz w:val="20"/>
                <w:szCs w:val="20"/>
              </w:rPr>
            </w:pPr>
            <w:r>
              <w:rPr>
                <w:sz w:val="20"/>
                <w:szCs w:val="20"/>
              </w:rPr>
              <w:t>276,1</w:t>
            </w:r>
          </w:p>
        </w:tc>
      </w:tr>
      <w:tr w:rsidR="007062F6" w:rsidRPr="00466605" w:rsidTr="007062F6">
        <w:tc>
          <w:tcPr>
            <w:tcW w:w="3652" w:type="dxa"/>
          </w:tcPr>
          <w:p w:rsidR="007062F6" w:rsidRPr="003831EF" w:rsidRDefault="007062F6"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7062F6" w:rsidRPr="00C064DB" w:rsidRDefault="007062F6" w:rsidP="00C064DB">
            <w:pPr>
              <w:widowControl w:val="0"/>
              <w:numPr>
                <w:ilvl w:val="12"/>
                <w:numId w:val="0"/>
              </w:numPr>
              <w:jc w:val="right"/>
              <w:rPr>
                <w:i/>
                <w:sz w:val="20"/>
                <w:szCs w:val="20"/>
              </w:rPr>
            </w:pPr>
            <w:r>
              <w:rPr>
                <w:i/>
                <w:sz w:val="20"/>
                <w:szCs w:val="20"/>
              </w:rPr>
              <w:t>44</w:t>
            </w:r>
          </w:p>
        </w:tc>
        <w:tc>
          <w:tcPr>
            <w:tcW w:w="992" w:type="dxa"/>
            <w:vAlign w:val="center"/>
          </w:tcPr>
          <w:p w:rsidR="007062F6" w:rsidRPr="00C064DB" w:rsidRDefault="007062F6" w:rsidP="00C064DB">
            <w:pPr>
              <w:widowControl w:val="0"/>
              <w:numPr>
                <w:ilvl w:val="12"/>
                <w:numId w:val="0"/>
              </w:numPr>
              <w:jc w:val="right"/>
              <w:rPr>
                <w:i/>
                <w:sz w:val="20"/>
                <w:szCs w:val="20"/>
              </w:rPr>
            </w:pPr>
            <w:r>
              <w:rPr>
                <w:i/>
                <w:sz w:val="20"/>
                <w:szCs w:val="20"/>
              </w:rPr>
              <w:t>70</w:t>
            </w:r>
          </w:p>
        </w:tc>
        <w:tc>
          <w:tcPr>
            <w:tcW w:w="992" w:type="dxa"/>
            <w:vAlign w:val="center"/>
          </w:tcPr>
          <w:p w:rsidR="007062F6" w:rsidRPr="007062F6" w:rsidRDefault="007062F6" w:rsidP="007062F6">
            <w:pPr>
              <w:jc w:val="center"/>
              <w:rPr>
                <w:sz w:val="20"/>
                <w:szCs w:val="20"/>
              </w:rPr>
            </w:pPr>
            <w:r w:rsidRPr="007062F6">
              <w:rPr>
                <w:sz w:val="20"/>
                <w:szCs w:val="20"/>
              </w:rPr>
              <w:t>26</w:t>
            </w:r>
          </w:p>
        </w:tc>
        <w:tc>
          <w:tcPr>
            <w:tcW w:w="992" w:type="dxa"/>
            <w:vAlign w:val="center"/>
          </w:tcPr>
          <w:p w:rsidR="007062F6" w:rsidRPr="007062F6" w:rsidRDefault="007062F6" w:rsidP="007062F6">
            <w:pPr>
              <w:jc w:val="center"/>
              <w:rPr>
                <w:sz w:val="20"/>
                <w:szCs w:val="20"/>
              </w:rPr>
            </w:pPr>
            <w:r w:rsidRPr="007062F6">
              <w:rPr>
                <w:sz w:val="20"/>
                <w:szCs w:val="20"/>
              </w:rPr>
              <w:t>159,1</w:t>
            </w:r>
          </w:p>
        </w:tc>
        <w:tc>
          <w:tcPr>
            <w:tcW w:w="992" w:type="dxa"/>
            <w:vAlign w:val="center"/>
          </w:tcPr>
          <w:p w:rsidR="007062F6" w:rsidRPr="00C064DB" w:rsidRDefault="007062F6" w:rsidP="00C064DB">
            <w:pPr>
              <w:tabs>
                <w:tab w:val="left" w:pos="9923"/>
              </w:tabs>
              <w:ind w:right="-3"/>
              <w:jc w:val="right"/>
              <w:rPr>
                <w:i/>
                <w:sz w:val="20"/>
                <w:szCs w:val="20"/>
              </w:rPr>
            </w:pPr>
            <w:r>
              <w:rPr>
                <w:i/>
                <w:sz w:val="20"/>
                <w:szCs w:val="20"/>
              </w:rPr>
              <w:t>70</w:t>
            </w:r>
          </w:p>
        </w:tc>
        <w:tc>
          <w:tcPr>
            <w:tcW w:w="992" w:type="dxa"/>
            <w:vAlign w:val="center"/>
          </w:tcPr>
          <w:p w:rsidR="007062F6" w:rsidRPr="00C064DB" w:rsidRDefault="007062F6" w:rsidP="00C064DB">
            <w:pPr>
              <w:jc w:val="right"/>
              <w:rPr>
                <w:i/>
                <w:sz w:val="20"/>
                <w:szCs w:val="20"/>
              </w:rPr>
            </w:pPr>
            <w:r>
              <w:rPr>
                <w:i/>
                <w:sz w:val="20"/>
                <w:szCs w:val="20"/>
              </w:rPr>
              <w:t>70</w:t>
            </w:r>
          </w:p>
        </w:tc>
      </w:tr>
      <w:tr w:rsidR="007062F6" w:rsidRPr="00466605" w:rsidTr="007062F6">
        <w:tc>
          <w:tcPr>
            <w:tcW w:w="3652" w:type="dxa"/>
          </w:tcPr>
          <w:p w:rsidR="007062F6" w:rsidRPr="003831EF" w:rsidRDefault="007062F6"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7062F6" w:rsidRPr="00C064DB" w:rsidRDefault="007062F6" w:rsidP="00C064DB">
            <w:pPr>
              <w:widowControl w:val="0"/>
              <w:numPr>
                <w:ilvl w:val="12"/>
                <w:numId w:val="0"/>
              </w:numPr>
              <w:jc w:val="right"/>
              <w:rPr>
                <w:i/>
                <w:sz w:val="20"/>
                <w:szCs w:val="20"/>
              </w:rPr>
            </w:pPr>
            <w:r>
              <w:rPr>
                <w:i/>
                <w:sz w:val="20"/>
                <w:szCs w:val="20"/>
              </w:rPr>
              <w:t>91,2</w:t>
            </w:r>
          </w:p>
        </w:tc>
        <w:tc>
          <w:tcPr>
            <w:tcW w:w="992" w:type="dxa"/>
            <w:vAlign w:val="center"/>
          </w:tcPr>
          <w:p w:rsidR="007062F6" w:rsidRPr="00C064DB" w:rsidRDefault="007062F6" w:rsidP="00C064DB">
            <w:pPr>
              <w:widowControl w:val="0"/>
              <w:numPr>
                <w:ilvl w:val="12"/>
                <w:numId w:val="0"/>
              </w:numPr>
              <w:jc w:val="right"/>
              <w:rPr>
                <w:i/>
                <w:sz w:val="20"/>
                <w:szCs w:val="20"/>
              </w:rPr>
            </w:pPr>
            <w:r>
              <w:rPr>
                <w:i/>
                <w:sz w:val="20"/>
                <w:szCs w:val="20"/>
              </w:rPr>
              <w:t>149,1</w:t>
            </w:r>
          </w:p>
        </w:tc>
        <w:tc>
          <w:tcPr>
            <w:tcW w:w="992" w:type="dxa"/>
            <w:vAlign w:val="center"/>
          </w:tcPr>
          <w:p w:rsidR="007062F6" w:rsidRPr="007062F6" w:rsidRDefault="007062F6" w:rsidP="007062F6">
            <w:pPr>
              <w:jc w:val="center"/>
              <w:rPr>
                <w:sz w:val="20"/>
                <w:szCs w:val="20"/>
              </w:rPr>
            </w:pPr>
            <w:r w:rsidRPr="007062F6">
              <w:rPr>
                <w:sz w:val="20"/>
                <w:szCs w:val="20"/>
              </w:rPr>
              <w:t>57,9</w:t>
            </w:r>
          </w:p>
        </w:tc>
        <w:tc>
          <w:tcPr>
            <w:tcW w:w="992" w:type="dxa"/>
            <w:vAlign w:val="center"/>
          </w:tcPr>
          <w:p w:rsidR="007062F6" w:rsidRPr="007062F6" w:rsidRDefault="007062F6" w:rsidP="007062F6">
            <w:pPr>
              <w:jc w:val="center"/>
              <w:rPr>
                <w:sz w:val="20"/>
                <w:szCs w:val="20"/>
              </w:rPr>
            </w:pPr>
            <w:r w:rsidRPr="007062F6">
              <w:rPr>
                <w:sz w:val="20"/>
                <w:szCs w:val="20"/>
              </w:rPr>
              <w:t>163,5</w:t>
            </w:r>
          </w:p>
        </w:tc>
        <w:tc>
          <w:tcPr>
            <w:tcW w:w="992" w:type="dxa"/>
            <w:vAlign w:val="center"/>
          </w:tcPr>
          <w:p w:rsidR="007062F6" w:rsidRPr="00C064DB" w:rsidRDefault="007062F6" w:rsidP="002E597F">
            <w:pPr>
              <w:tabs>
                <w:tab w:val="left" w:pos="9923"/>
              </w:tabs>
              <w:ind w:right="-3"/>
              <w:jc w:val="right"/>
              <w:rPr>
                <w:i/>
                <w:sz w:val="20"/>
                <w:szCs w:val="20"/>
              </w:rPr>
            </w:pPr>
            <w:r>
              <w:rPr>
                <w:i/>
                <w:sz w:val="20"/>
                <w:szCs w:val="20"/>
              </w:rPr>
              <w:t>149,1</w:t>
            </w:r>
          </w:p>
        </w:tc>
        <w:tc>
          <w:tcPr>
            <w:tcW w:w="992" w:type="dxa"/>
            <w:vAlign w:val="center"/>
          </w:tcPr>
          <w:p w:rsidR="007062F6" w:rsidRPr="00C064DB" w:rsidRDefault="007062F6" w:rsidP="00C064DB">
            <w:pPr>
              <w:jc w:val="right"/>
              <w:rPr>
                <w:i/>
                <w:sz w:val="20"/>
                <w:szCs w:val="20"/>
              </w:rPr>
            </w:pPr>
            <w:r>
              <w:rPr>
                <w:i/>
                <w:sz w:val="20"/>
                <w:szCs w:val="20"/>
              </w:rPr>
              <w:t>149,1</w:t>
            </w:r>
          </w:p>
        </w:tc>
      </w:tr>
      <w:tr w:rsidR="007062F6" w:rsidRPr="00466605" w:rsidTr="007062F6">
        <w:tc>
          <w:tcPr>
            <w:tcW w:w="3652" w:type="dxa"/>
          </w:tcPr>
          <w:p w:rsidR="007062F6" w:rsidRPr="003831EF" w:rsidRDefault="007062F6"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7062F6" w:rsidRPr="00C064DB" w:rsidRDefault="007062F6" w:rsidP="00C064DB">
            <w:pPr>
              <w:widowControl w:val="0"/>
              <w:numPr>
                <w:ilvl w:val="12"/>
                <w:numId w:val="0"/>
              </w:numPr>
              <w:jc w:val="right"/>
              <w:rPr>
                <w:i/>
                <w:sz w:val="20"/>
                <w:szCs w:val="20"/>
              </w:rPr>
            </w:pPr>
            <w:r>
              <w:rPr>
                <w:i/>
                <w:sz w:val="20"/>
                <w:szCs w:val="20"/>
              </w:rPr>
              <w:t>57</w:t>
            </w:r>
          </w:p>
        </w:tc>
        <w:tc>
          <w:tcPr>
            <w:tcW w:w="992" w:type="dxa"/>
            <w:vAlign w:val="center"/>
          </w:tcPr>
          <w:p w:rsidR="007062F6" w:rsidRPr="00C064DB" w:rsidRDefault="007062F6" w:rsidP="00C064DB">
            <w:pPr>
              <w:widowControl w:val="0"/>
              <w:numPr>
                <w:ilvl w:val="12"/>
                <w:numId w:val="0"/>
              </w:numPr>
              <w:jc w:val="right"/>
              <w:rPr>
                <w:i/>
                <w:sz w:val="20"/>
                <w:szCs w:val="20"/>
              </w:rPr>
            </w:pPr>
            <w:r>
              <w:rPr>
                <w:i/>
                <w:sz w:val="20"/>
                <w:szCs w:val="20"/>
              </w:rPr>
              <w:t>57</w:t>
            </w:r>
          </w:p>
        </w:tc>
        <w:tc>
          <w:tcPr>
            <w:tcW w:w="992" w:type="dxa"/>
            <w:vAlign w:val="center"/>
          </w:tcPr>
          <w:p w:rsidR="007062F6" w:rsidRPr="007062F6" w:rsidRDefault="007062F6" w:rsidP="007062F6">
            <w:pPr>
              <w:jc w:val="center"/>
              <w:rPr>
                <w:sz w:val="20"/>
                <w:szCs w:val="20"/>
              </w:rPr>
            </w:pPr>
            <w:r w:rsidRPr="007062F6">
              <w:rPr>
                <w:sz w:val="20"/>
                <w:szCs w:val="20"/>
              </w:rPr>
              <w:t>0</w:t>
            </w:r>
          </w:p>
        </w:tc>
        <w:tc>
          <w:tcPr>
            <w:tcW w:w="992" w:type="dxa"/>
            <w:vAlign w:val="center"/>
          </w:tcPr>
          <w:p w:rsidR="007062F6" w:rsidRPr="007062F6" w:rsidRDefault="007062F6" w:rsidP="004C6486">
            <w:pPr>
              <w:jc w:val="center"/>
              <w:rPr>
                <w:sz w:val="20"/>
                <w:szCs w:val="20"/>
              </w:rPr>
            </w:pPr>
            <w:r w:rsidRPr="007062F6">
              <w:rPr>
                <w:sz w:val="20"/>
                <w:szCs w:val="20"/>
              </w:rPr>
              <w:t>100</w:t>
            </w:r>
          </w:p>
        </w:tc>
        <w:tc>
          <w:tcPr>
            <w:tcW w:w="992" w:type="dxa"/>
            <w:vAlign w:val="center"/>
          </w:tcPr>
          <w:p w:rsidR="007062F6" w:rsidRPr="00C064DB" w:rsidRDefault="007062F6" w:rsidP="00C064DB">
            <w:pPr>
              <w:tabs>
                <w:tab w:val="left" w:pos="9923"/>
              </w:tabs>
              <w:ind w:right="-3"/>
              <w:jc w:val="right"/>
              <w:rPr>
                <w:i/>
                <w:sz w:val="20"/>
                <w:szCs w:val="20"/>
              </w:rPr>
            </w:pPr>
            <w:r>
              <w:rPr>
                <w:i/>
                <w:sz w:val="20"/>
                <w:szCs w:val="20"/>
              </w:rPr>
              <w:t>57</w:t>
            </w:r>
          </w:p>
        </w:tc>
        <w:tc>
          <w:tcPr>
            <w:tcW w:w="992" w:type="dxa"/>
            <w:vAlign w:val="center"/>
          </w:tcPr>
          <w:p w:rsidR="007062F6" w:rsidRPr="00C064DB" w:rsidRDefault="007062F6" w:rsidP="00C064DB">
            <w:pPr>
              <w:jc w:val="right"/>
              <w:rPr>
                <w:i/>
                <w:sz w:val="20"/>
                <w:szCs w:val="20"/>
              </w:rPr>
            </w:pPr>
            <w:r>
              <w:rPr>
                <w:i/>
                <w:sz w:val="20"/>
                <w:szCs w:val="20"/>
              </w:rPr>
              <w:t>57</w:t>
            </w:r>
          </w:p>
        </w:tc>
      </w:tr>
      <w:tr w:rsidR="007062F6" w:rsidRPr="00466605" w:rsidTr="007062F6">
        <w:tc>
          <w:tcPr>
            <w:tcW w:w="3652" w:type="dxa"/>
            <w:vAlign w:val="bottom"/>
          </w:tcPr>
          <w:p w:rsidR="007062F6" w:rsidRPr="006F2D87" w:rsidRDefault="007062F6" w:rsidP="003750BA">
            <w:pPr>
              <w:snapToGrid w:val="0"/>
              <w:rPr>
                <w:sz w:val="18"/>
                <w:szCs w:val="18"/>
              </w:rPr>
            </w:pPr>
            <w:r w:rsidRPr="006F2D87">
              <w:rPr>
                <w:sz w:val="18"/>
                <w:szCs w:val="18"/>
              </w:rPr>
              <w:t>Доходы от использования имущества, находящегося в собственности поселений</w:t>
            </w:r>
          </w:p>
        </w:tc>
        <w:tc>
          <w:tcPr>
            <w:tcW w:w="992" w:type="dxa"/>
            <w:vAlign w:val="center"/>
          </w:tcPr>
          <w:p w:rsidR="007062F6" w:rsidRPr="006F2D87" w:rsidRDefault="007062F6" w:rsidP="0031390C">
            <w:pPr>
              <w:widowControl w:val="0"/>
              <w:numPr>
                <w:ilvl w:val="12"/>
                <w:numId w:val="0"/>
              </w:numPr>
              <w:jc w:val="center"/>
              <w:rPr>
                <w:sz w:val="18"/>
                <w:szCs w:val="18"/>
              </w:rPr>
            </w:pPr>
            <w:r>
              <w:rPr>
                <w:sz w:val="18"/>
                <w:szCs w:val="18"/>
              </w:rPr>
              <w:t>54,4</w:t>
            </w:r>
          </w:p>
        </w:tc>
        <w:tc>
          <w:tcPr>
            <w:tcW w:w="992" w:type="dxa"/>
            <w:vAlign w:val="center"/>
          </w:tcPr>
          <w:p w:rsidR="007062F6" w:rsidRPr="006F2D87" w:rsidRDefault="007062F6" w:rsidP="0031390C">
            <w:pPr>
              <w:widowControl w:val="0"/>
              <w:numPr>
                <w:ilvl w:val="12"/>
                <w:numId w:val="0"/>
              </w:numPr>
              <w:jc w:val="center"/>
              <w:rPr>
                <w:sz w:val="18"/>
                <w:szCs w:val="18"/>
              </w:rPr>
            </w:pPr>
            <w:r>
              <w:rPr>
                <w:sz w:val="18"/>
                <w:szCs w:val="18"/>
              </w:rPr>
              <w:t>49</w:t>
            </w:r>
          </w:p>
        </w:tc>
        <w:tc>
          <w:tcPr>
            <w:tcW w:w="992" w:type="dxa"/>
            <w:vAlign w:val="center"/>
          </w:tcPr>
          <w:p w:rsidR="007062F6" w:rsidRPr="007062F6" w:rsidRDefault="007062F6" w:rsidP="007062F6">
            <w:pPr>
              <w:jc w:val="center"/>
              <w:rPr>
                <w:sz w:val="20"/>
                <w:szCs w:val="20"/>
              </w:rPr>
            </w:pPr>
            <w:r w:rsidRPr="007062F6">
              <w:rPr>
                <w:sz w:val="20"/>
                <w:szCs w:val="20"/>
              </w:rPr>
              <w:t>-5,4</w:t>
            </w:r>
          </w:p>
        </w:tc>
        <w:tc>
          <w:tcPr>
            <w:tcW w:w="992" w:type="dxa"/>
            <w:vAlign w:val="center"/>
          </w:tcPr>
          <w:p w:rsidR="007062F6" w:rsidRPr="007062F6" w:rsidRDefault="007062F6" w:rsidP="007062F6">
            <w:pPr>
              <w:jc w:val="center"/>
              <w:rPr>
                <w:sz w:val="20"/>
                <w:szCs w:val="20"/>
              </w:rPr>
            </w:pPr>
            <w:r w:rsidRPr="007062F6">
              <w:rPr>
                <w:sz w:val="20"/>
                <w:szCs w:val="20"/>
              </w:rPr>
              <w:t>90,1</w:t>
            </w:r>
          </w:p>
        </w:tc>
        <w:tc>
          <w:tcPr>
            <w:tcW w:w="992" w:type="dxa"/>
            <w:vAlign w:val="center"/>
          </w:tcPr>
          <w:p w:rsidR="007062F6" w:rsidRPr="006F2D87" w:rsidRDefault="007062F6" w:rsidP="0012595F">
            <w:pPr>
              <w:jc w:val="center"/>
              <w:rPr>
                <w:sz w:val="20"/>
                <w:szCs w:val="20"/>
              </w:rPr>
            </w:pPr>
            <w:r>
              <w:rPr>
                <w:sz w:val="20"/>
                <w:szCs w:val="20"/>
              </w:rPr>
              <w:t>23,5</w:t>
            </w:r>
          </w:p>
        </w:tc>
        <w:tc>
          <w:tcPr>
            <w:tcW w:w="992" w:type="dxa"/>
            <w:vAlign w:val="center"/>
          </w:tcPr>
          <w:p w:rsidR="007062F6" w:rsidRPr="006F2D87" w:rsidRDefault="007062F6" w:rsidP="0012595F">
            <w:pPr>
              <w:jc w:val="center"/>
              <w:rPr>
                <w:sz w:val="20"/>
                <w:szCs w:val="20"/>
              </w:rPr>
            </w:pPr>
            <w:r>
              <w:rPr>
                <w:sz w:val="20"/>
                <w:szCs w:val="20"/>
              </w:rPr>
              <w:t>0,0</w:t>
            </w:r>
          </w:p>
        </w:tc>
      </w:tr>
      <w:tr w:rsidR="007062F6" w:rsidRPr="00466605" w:rsidTr="007062F6">
        <w:tc>
          <w:tcPr>
            <w:tcW w:w="3652" w:type="dxa"/>
            <w:vAlign w:val="bottom"/>
          </w:tcPr>
          <w:p w:rsidR="007062F6" w:rsidRPr="004A2CC3" w:rsidRDefault="007062F6" w:rsidP="00040DC9">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7062F6" w:rsidRPr="004A2CC3" w:rsidRDefault="007062F6" w:rsidP="00040DC9">
            <w:pPr>
              <w:widowControl w:val="0"/>
              <w:numPr>
                <w:ilvl w:val="12"/>
                <w:numId w:val="0"/>
              </w:numPr>
              <w:jc w:val="center"/>
              <w:rPr>
                <w:sz w:val="18"/>
                <w:szCs w:val="18"/>
              </w:rPr>
            </w:pPr>
            <w:r>
              <w:rPr>
                <w:sz w:val="18"/>
                <w:szCs w:val="18"/>
              </w:rPr>
              <w:t>20</w:t>
            </w:r>
          </w:p>
        </w:tc>
        <w:tc>
          <w:tcPr>
            <w:tcW w:w="992" w:type="dxa"/>
            <w:vAlign w:val="center"/>
          </w:tcPr>
          <w:p w:rsidR="007062F6" w:rsidRPr="004A2CC3" w:rsidRDefault="007062F6" w:rsidP="0031390C">
            <w:pPr>
              <w:widowControl w:val="0"/>
              <w:numPr>
                <w:ilvl w:val="12"/>
                <w:numId w:val="0"/>
              </w:numPr>
              <w:jc w:val="center"/>
              <w:rPr>
                <w:sz w:val="18"/>
                <w:szCs w:val="18"/>
              </w:rPr>
            </w:pPr>
            <w:r>
              <w:rPr>
                <w:sz w:val="18"/>
                <w:szCs w:val="18"/>
              </w:rPr>
              <w:t>20</w:t>
            </w:r>
          </w:p>
        </w:tc>
        <w:tc>
          <w:tcPr>
            <w:tcW w:w="992" w:type="dxa"/>
            <w:vAlign w:val="center"/>
          </w:tcPr>
          <w:p w:rsidR="007062F6" w:rsidRPr="007062F6" w:rsidRDefault="007062F6" w:rsidP="007062F6">
            <w:pPr>
              <w:jc w:val="center"/>
              <w:rPr>
                <w:sz w:val="20"/>
                <w:szCs w:val="20"/>
              </w:rPr>
            </w:pPr>
            <w:r w:rsidRPr="007062F6">
              <w:rPr>
                <w:sz w:val="20"/>
                <w:szCs w:val="20"/>
              </w:rPr>
              <w:t>0</w:t>
            </w:r>
            <w:r w:rsidR="004C6486">
              <w:rPr>
                <w:sz w:val="20"/>
                <w:szCs w:val="20"/>
              </w:rPr>
              <w:t>,0</w:t>
            </w:r>
          </w:p>
        </w:tc>
        <w:tc>
          <w:tcPr>
            <w:tcW w:w="992" w:type="dxa"/>
            <w:vAlign w:val="center"/>
          </w:tcPr>
          <w:p w:rsidR="007062F6" w:rsidRPr="007062F6" w:rsidRDefault="007062F6" w:rsidP="004C6486">
            <w:pPr>
              <w:jc w:val="center"/>
              <w:rPr>
                <w:sz w:val="20"/>
                <w:szCs w:val="20"/>
              </w:rPr>
            </w:pPr>
            <w:r w:rsidRPr="007062F6">
              <w:rPr>
                <w:sz w:val="20"/>
                <w:szCs w:val="20"/>
              </w:rPr>
              <w:t>100</w:t>
            </w:r>
          </w:p>
        </w:tc>
        <w:tc>
          <w:tcPr>
            <w:tcW w:w="992" w:type="dxa"/>
            <w:vAlign w:val="center"/>
          </w:tcPr>
          <w:p w:rsidR="007062F6" w:rsidRPr="002C1732" w:rsidRDefault="007062F6" w:rsidP="0012595F">
            <w:pPr>
              <w:jc w:val="center"/>
              <w:rPr>
                <w:sz w:val="20"/>
                <w:szCs w:val="20"/>
              </w:rPr>
            </w:pPr>
            <w:r>
              <w:rPr>
                <w:sz w:val="20"/>
                <w:szCs w:val="20"/>
              </w:rPr>
              <w:t>20</w:t>
            </w:r>
          </w:p>
        </w:tc>
        <w:tc>
          <w:tcPr>
            <w:tcW w:w="992" w:type="dxa"/>
            <w:vAlign w:val="center"/>
          </w:tcPr>
          <w:p w:rsidR="007062F6" w:rsidRPr="002C1732" w:rsidRDefault="007062F6" w:rsidP="0012595F">
            <w:pPr>
              <w:jc w:val="center"/>
              <w:rPr>
                <w:sz w:val="20"/>
                <w:szCs w:val="20"/>
              </w:rPr>
            </w:pPr>
            <w:r>
              <w:rPr>
                <w:sz w:val="20"/>
                <w:szCs w:val="20"/>
              </w:rPr>
              <w:t>20</w:t>
            </w:r>
          </w:p>
        </w:tc>
      </w:tr>
      <w:tr w:rsidR="007062F6" w:rsidRPr="00466605" w:rsidTr="007062F6">
        <w:tc>
          <w:tcPr>
            <w:tcW w:w="3652" w:type="dxa"/>
          </w:tcPr>
          <w:p w:rsidR="007062F6" w:rsidRPr="00F6314F" w:rsidRDefault="007062F6"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7062F6" w:rsidRPr="00F6314F" w:rsidRDefault="007062F6" w:rsidP="00AE11E4">
            <w:pPr>
              <w:widowControl w:val="0"/>
              <w:numPr>
                <w:ilvl w:val="12"/>
                <w:numId w:val="0"/>
              </w:numPr>
              <w:jc w:val="center"/>
              <w:rPr>
                <w:b/>
                <w:sz w:val="20"/>
                <w:szCs w:val="20"/>
              </w:rPr>
            </w:pPr>
            <w:r>
              <w:rPr>
                <w:b/>
                <w:sz w:val="20"/>
                <w:szCs w:val="20"/>
              </w:rPr>
              <w:t>12371,9</w:t>
            </w:r>
          </w:p>
        </w:tc>
        <w:tc>
          <w:tcPr>
            <w:tcW w:w="992" w:type="dxa"/>
            <w:vAlign w:val="center"/>
          </w:tcPr>
          <w:p w:rsidR="007062F6" w:rsidRPr="00F6314F" w:rsidRDefault="007062F6" w:rsidP="0031390C">
            <w:pPr>
              <w:widowControl w:val="0"/>
              <w:numPr>
                <w:ilvl w:val="12"/>
                <w:numId w:val="0"/>
              </w:numPr>
              <w:jc w:val="center"/>
              <w:rPr>
                <w:b/>
                <w:sz w:val="20"/>
                <w:szCs w:val="20"/>
              </w:rPr>
            </w:pPr>
            <w:r>
              <w:rPr>
                <w:b/>
                <w:sz w:val="20"/>
                <w:szCs w:val="20"/>
              </w:rPr>
              <w:t>7194,6</w:t>
            </w:r>
          </w:p>
        </w:tc>
        <w:tc>
          <w:tcPr>
            <w:tcW w:w="992" w:type="dxa"/>
            <w:vAlign w:val="center"/>
          </w:tcPr>
          <w:p w:rsidR="007062F6" w:rsidRPr="007062F6" w:rsidRDefault="007062F6" w:rsidP="007062F6">
            <w:pPr>
              <w:jc w:val="center"/>
              <w:rPr>
                <w:b/>
                <w:sz w:val="20"/>
                <w:szCs w:val="20"/>
              </w:rPr>
            </w:pPr>
            <w:r w:rsidRPr="007062F6">
              <w:rPr>
                <w:b/>
                <w:sz w:val="20"/>
                <w:szCs w:val="20"/>
              </w:rPr>
              <w:t>-5177,3</w:t>
            </w:r>
          </w:p>
        </w:tc>
        <w:tc>
          <w:tcPr>
            <w:tcW w:w="992" w:type="dxa"/>
            <w:vAlign w:val="center"/>
          </w:tcPr>
          <w:p w:rsidR="007062F6" w:rsidRPr="007062F6" w:rsidRDefault="007062F6" w:rsidP="007062F6">
            <w:pPr>
              <w:jc w:val="center"/>
              <w:rPr>
                <w:b/>
                <w:sz w:val="20"/>
                <w:szCs w:val="20"/>
              </w:rPr>
            </w:pPr>
            <w:r w:rsidRPr="007062F6">
              <w:rPr>
                <w:b/>
                <w:sz w:val="20"/>
                <w:szCs w:val="20"/>
              </w:rPr>
              <w:t>58,2</w:t>
            </w:r>
          </w:p>
        </w:tc>
        <w:tc>
          <w:tcPr>
            <w:tcW w:w="992" w:type="dxa"/>
            <w:vAlign w:val="center"/>
          </w:tcPr>
          <w:p w:rsidR="007062F6" w:rsidRPr="00F6314F" w:rsidRDefault="007062F6" w:rsidP="003831EF">
            <w:pPr>
              <w:snapToGrid w:val="0"/>
              <w:jc w:val="center"/>
              <w:rPr>
                <w:b/>
                <w:bCs/>
                <w:sz w:val="20"/>
                <w:szCs w:val="20"/>
              </w:rPr>
            </w:pPr>
            <w:r>
              <w:rPr>
                <w:b/>
                <w:bCs/>
                <w:sz w:val="20"/>
                <w:szCs w:val="20"/>
              </w:rPr>
              <w:t>7242,1</w:t>
            </w:r>
          </w:p>
        </w:tc>
        <w:tc>
          <w:tcPr>
            <w:tcW w:w="992" w:type="dxa"/>
            <w:vAlign w:val="center"/>
          </w:tcPr>
          <w:p w:rsidR="007062F6" w:rsidRPr="00F6314F" w:rsidRDefault="007062F6" w:rsidP="003831EF">
            <w:pPr>
              <w:jc w:val="center"/>
              <w:rPr>
                <w:b/>
                <w:sz w:val="20"/>
                <w:szCs w:val="20"/>
              </w:rPr>
            </w:pPr>
            <w:r>
              <w:rPr>
                <w:b/>
                <w:sz w:val="20"/>
                <w:szCs w:val="20"/>
              </w:rPr>
              <w:t>7447,6</w:t>
            </w:r>
          </w:p>
        </w:tc>
      </w:tr>
      <w:tr w:rsidR="007062F6" w:rsidRPr="00466605" w:rsidTr="007062F6">
        <w:tc>
          <w:tcPr>
            <w:tcW w:w="3652" w:type="dxa"/>
          </w:tcPr>
          <w:p w:rsidR="007062F6" w:rsidRPr="003831EF" w:rsidRDefault="007062F6"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6482,3</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5906,2</w:t>
            </w:r>
          </w:p>
        </w:tc>
        <w:tc>
          <w:tcPr>
            <w:tcW w:w="992" w:type="dxa"/>
            <w:vAlign w:val="center"/>
          </w:tcPr>
          <w:p w:rsidR="007062F6" w:rsidRPr="007062F6" w:rsidRDefault="007062F6" w:rsidP="007062F6">
            <w:pPr>
              <w:jc w:val="center"/>
              <w:rPr>
                <w:sz w:val="20"/>
                <w:szCs w:val="20"/>
              </w:rPr>
            </w:pPr>
            <w:r w:rsidRPr="007062F6">
              <w:rPr>
                <w:sz w:val="20"/>
                <w:szCs w:val="20"/>
              </w:rPr>
              <w:t>-576,1</w:t>
            </w:r>
          </w:p>
        </w:tc>
        <w:tc>
          <w:tcPr>
            <w:tcW w:w="992" w:type="dxa"/>
            <w:vAlign w:val="center"/>
          </w:tcPr>
          <w:p w:rsidR="007062F6" w:rsidRPr="007062F6" w:rsidRDefault="007062F6" w:rsidP="007062F6">
            <w:pPr>
              <w:jc w:val="center"/>
              <w:rPr>
                <w:sz w:val="20"/>
                <w:szCs w:val="20"/>
              </w:rPr>
            </w:pPr>
            <w:r w:rsidRPr="007062F6">
              <w:rPr>
                <w:sz w:val="20"/>
                <w:szCs w:val="20"/>
              </w:rPr>
              <w:t>91,1</w:t>
            </w:r>
          </w:p>
        </w:tc>
        <w:tc>
          <w:tcPr>
            <w:tcW w:w="992" w:type="dxa"/>
            <w:vAlign w:val="center"/>
          </w:tcPr>
          <w:p w:rsidR="007062F6" w:rsidRPr="003831EF" w:rsidRDefault="007062F6" w:rsidP="003831EF">
            <w:pPr>
              <w:snapToGrid w:val="0"/>
              <w:jc w:val="center"/>
              <w:rPr>
                <w:bCs/>
                <w:sz w:val="20"/>
                <w:szCs w:val="20"/>
              </w:rPr>
            </w:pPr>
            <w:r>
              <w:rPr>
                <w:bCs/>
                <w:sz w:val="20"/>
                <w:szCs w:val="20"/>
              </w:rPr>
              <w:t>5824,4</w:t>
            </w:r>
          </w:p>
        </w:tc>
        <w:tc>
          <w:tcPr>
            <w:tcW w:w="992" w:type="dxa"/>
            <w:vAlign w:val="center"/>
          </w:tcPr>
          <w:p w:rsidR="007062F6" w:rsidRPr="003831EF" w:rsidRDefault="007062F6" w:rsidP="003831EF">
            <w:pPr>
              <w:jc w:val="center"/>
              <w:rPr>
                <w:sz w:val="20"/>
                <w:szCs w:val="20"/>
              </w:rPr>
            </w:pPr>
            <w:r>
              <w:rPr>
                <w:sz w:val="20"/>
                <w:szCs w:val="20"/>
              </w:rPr>
              <w:t>6330,1</w:t>
            </w:r>
          </w:p>
        </w:tc>
      </w:tr>
      <w:tr w:rsidR="007062F6" w:rsidRPr="00466605" w:rsidTr="007062F6">
        <w:tc>
          <w:tcPr>
            <w:tcW w:w="3652" w:type="dxa"/>
          </w:tcPr>
          <w:p w:rsidR="007062F6" w:rsidRPr="003831EF" w:rsidRDefault="007062F6"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300</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300</w:t>
            </w:r>
          </w:p>
        </w:tc>
        <w:tc>
          <w:tcPr>
            <w:tcW w:w="992" w:type="dxa"/>
            <w:vAlign w:val="center"/>
          </w:tcPr>
          <w:p w:rsidR="007062F6" w:rsidRPr="007062F6" w:rsidRDefault="007062F6" w:rsidP="007062F6">
            <w:pPr>
              <w:jc w:val="center"/>
              <w:rPr>
                <w:sz w:val="20"/>
                <w:szCs w:val="20"/>
              </w:rPr>
            </w:pPr>
            <w:r w:rsidRPr="007062F6">
              <w:rPr>
                <w:sz w:val="20"/>
                <w:szCs w:val="20"/>
              </w:rPr>
              <w:t>0</w:t>
            </w:r>
            <w:r w:rsidR="004C6486">
              <w:rPr>
                <w:sz w:val="20"/>
                <w:szCs w:val="20"/>
              </w:rPr>
              <w:t>,0</w:t>
            </w:r>
          </w:p>
        </w:tc>
        <w:tc>
          <w:tcPr>
            <w:tcW w:w="992" w:type="dxa"/>
            <w:vAlign w:val="center"/>
          </w:tcPr>
          <w:p w:rsidR="007062F6" w:rsidRPr="007062F6" w:rsidRDefault="007062F6" w:rsidP="004C6486">
            <w:pPr>
              <w:jc w:val="center"/>
              <w:rPr>
                <w:sz w:val="20"/>
                <w:szCs w:val="20"/>
              </w:rPr>
            </w:pPr>
            <w:r w:rsidRPr="007062F6">
              <w:rPr>
                <w:sz w:val="20"/>
                <w:szCs w:val="20"/>
              </w:rPr>
              <w:t>100</w:t>
            </w:r>
          </w:p>
        </w:tc>
        <w:tc>
          <w:tcPr>
            <w:tcW w:w="992" w:type="dxa"/>
            <w:vAlign w:val="center"/>
          </w:tcPr>
          <w:p w:rsidR="007062F6" w:rsidRPr="003831EF" w:rsidRDefault="007062F6" w:rsidP="003831EF">
            <w:pPr>
              <w:snapToGrid w:val="0"/>
              <w:jc w:val="center"/>
              <w:rPr>
                <w:bCs/>
                <w:sz w:val="20"/>
                <w:szCs w:val="20"/>
              </w:rPr>
            </w:pPr>
            <w:r>
              <w:rPr>
                <w:bCs/>
                <w:sz w:val="20"/>
                <w:szCs w:val="20"/>
              </w:rPr>
              <w:t>300</w:t>
            </w:r>
          </w:p>
        </w:tc>
        <w:tc>
          <w:tcPr>
            <w:tcW w:w="992" w:type="dxa"/>
            <w:vAlign w:val="center"/>
          </w:tcPr>
          <w:p w:rsidR="007062F6" w:rsidRPr="003831EF" w:rsidRDefault="007062F6" w:rsidP="003831EF">
            <w:pPr>
              <w:jc w:val="center"/>
              <w:rPr>
                <w:sz w:val="20"/>
                <w:szCs w:val="20"/>
              </w:rPr>
            </w:pPr>
            <w:r>
              <w:rPr>
                <w:sz w:val="20"/>
                <w:szCs w:val="20"/>
              </w:rPr>
              <w:t>300</w:t>
            </w:r>
          </w:p>
        </w:tc>
      </w:tr>
      <w:tr w:rsidR="007062F6" w:rsidRPr="00466605" w:rsidTr="007062F6">
        <w:tc>
          <w:tcPr>
            <w:tcW w:w="3652" w:type="dxa"/>
          </w:tcPr>
          <w:p w:rsidR="007062F6" w:rsidRPr="003831EF" w:rsidRDefault="007062F6"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152,3</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174,4</w:t>
            </w:r>
          </w:p>
        </w:tc>
        <w:tc>
          <w:tcPr>
            <w:tcW w:w="992" w:type="dxa"/>
            <w:vAlign w:val="center"/>
          </w:tcPr>
          <w:p w:rsidR="007062F6" w:rsidRPr="007062F6" w:rsidRDefault="007062F6" w:rsidP="007062F6">
            <w:pPr>
              <w:jc w:val="center"/>
              <w:rPr>
                <w:sz w:val="20"/>
                <w:szCs w:val="20"/>
              </w:rPr>
            </w:pPr>
            <w:r w:rsidRPr="007062F6">
              <w:rPr>
                <w:sz w:val="20"/>
                <w:szCs w:val="20"/>
              </w:rPr>
              <w:t>22,1</w:t>
            </w:r>
          </w:p>
        </w:tc>
        <w:tc>
          <w:tcPr>
            <w:tcW w:w="992" w:type="dxa"/>
            <w:vAlign w:val="center"/>
          </w:tcPr>
          <w:p w:rsidR="007062F6" w:rsidRPr="007062F6" w:rsidRDefault="007062F6" w:rsidP="007062F6">
            <w:pPr>
              <w:jc w:val="center"/>
              <w:rPr>
                <w:sz w:val="20"/>
                <w:szCs w:val="20"/>
              </w:rPr>
            </w:pPr>
            <w:r w:rsidRPr="007062F6">
              <w:rPr>
                <w:sz w:val="20"/>
                <w:szCs w:val="20"/>
              </w:rPr>
              <w:t>114,5</w:t>
            </w:r>
          </w:p>
        </w:tc>
        <w:tc>
          <w:tcPr>
            <w:tcW w:w="992" w:type="dxa"/>
            <w:vAlign w:val="center"/>
          </w:tcPr>
          <w:p w:rsidR="007062F6" w:rsidRPr="003831EF" w:rsidRDefault="007062F6" w:rsidP="003831EF">
            <w:pPr>
              <w:snapToGrid w:val="0"/>
              <w:jc w:val="center"/>
              <w:rPr>
                <w:bCs/>
                <w:sz w:val="20"/>
                <w:szCs w:val="20"/>
              </w:rPr>
            </w:pPr>
            <w:r>
              <w:rPr>
                <w:bCs/>
                <w:sz w:val="20"/>
                <w:szCs w:val="20"/>
              </w:rPr>
              <w:t>182,7</w:t>
            </w:r>
          </w:p>
        </w:tc>
        <w:tc>
          <w:tcPr>
            <w:tcW w:w="992" w:type="dxa"/>
            <w:vAlign w:val="center"/>
          </w:tcPr>
          <w:p w:rsidR="007062F6" w:rsidRPr="003831EF" w:rsidRDefault="007062F6" w:rsidP="003831EF">
            <w:pPr>
              <w:jc w:val="center"/>
              <w:rPr>
                <w:sz w:val="20"/>
                <w:szCs w:val="20"/>
              </w:rPr>
            </w:pPr>
            <w:r>
              <w:rPr>
                <w:sz w:val="20"/>
                <w:szCs w:val="20"/>
              </w:rPr>
              <w:t>189,5</w:t>
            </w:r>
          </w:p>
        </w:tc>
      </w:tr>
      <w:tr w:rsidR="007062F6" w:rsidRPr="00466605" w:rsidTr="007062F6">
        <w:tc>
          <w:tcPr>
            <w:tcW w:w="3652" w:type="dxa"/>
          </w:tcPr>
          <w:p w:rsidR="007062F6" w:rsidRPr="003831EF" w:rsidRDefault="007062F6" w:rsidP="0031390C">
            <w:pPr>
              <w:widowControl w:val="0"/>
              <w:numPr>
                <w:ilvl w:val="12"/>
                <w:numId w:val="0"/>
              </w:numPr>
              <w:jc w:val="both"/>
              <w:rPr>
                <w:sz w:val="18"/>
                <w:szCs w:val="18"/>
              </w:rPr>
            </w:pPr>
            <w:r>
              <w:rPr>
                <w:sz w:val="18"/>
                <w:szCs w:val="18"/>
              </w:rPr>
              <w:t>Иные</w:t>
            </w:r>
            <w:r w:rsidRPr="003831EF">
              <w:rPr>
                <w:sz w:val="18"/>
                <w:szCs w:val="18"/>
              </w:rPr>
              <w:t xml:space="preserve"> МБТ общего характера</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3437,3</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814</w:t>
            </w:r>
          </w:p>
        </w:tc>
        <w:tc>
          <w:tcPr>
            <w:tcW w:w="992" w:type="dxa"/>
            <w:vAlign w:val="center"/>
          </w:tcPr>
          <w:p w:rsidR="007062F6" w:rsidRPr="007062F6" w:rsidRDefault="007062F6" w:rsidP="007062F6">
            <w:pPr>
              <w:jc w:val="center"/>
              <w:rPr>
                <w:sz w:val="20"/>
                <w:szCs w:val="20"/>
              </w:rPr>
            </w:pPr>
            <w:r w:rsidRPr="007062F6">
              <w:rPr>
                <w:sz w:val="20"/>
                <w:szCs w:val="20"/>
              </w:rPr>
              <w:t>-2623,3</w:t>
            </w:r>
          </w:p>
        </w:tc>
        <w:tc>
          <w:tcPr>
            <w:tcW w:w="992" w:type="dxa"/>
            <w:vAlign w:val="center"/>
          </w:tcPr>
          <w:p w:rsidR="007062F6" w:rsidRPr="007062F6" w:rsidRDefault="007062F6" w:rsidP="007062F6">
            <w:pPr>
              <w:jc w:val="center"/>
              <w:rPr>
                <w:sz w:val="20"/>
                <w:szCs w:val="20"/>
              </w:rPr>
            </w:pPr>
            <w:r w:rsidRPr="007062F6">
              <w:rPr>
                <w:sz w:val="20"/>
                <w:szCs w:val="20"/>
              </w:rPr>
              <w:t>23,7</w:t>
            </w:r>
          </w:p>
        </w:tc>
        <w:tc>
          <w:tcPr>
            <w:tcW w:w="992" w:type="dxa"/>
            <w:vAlign w:val="center"/>
          </w:tcPr>
          <w:p w:rsidR="007062F6" w:rsidRPr="003831EF" w:rsidRDefault="007062F6" w:rsidP="003831EF">
            <w:pPr>
              <w:snapToGrid w:val="0"/>
              <w:jc w:val="center"/>
              <w:rPr>
                <w:bCs/>
                <w:sz w:val="20"/>
                <w:szCs w:val="20"/>
              </w:rPr>
            </w:pPr>
            <w:r>
              <w:rPr>
                <w:bCs/>
                <w:sz w:val="20"/>
                <w:szCs w:val="20"/>
              </w:rPr>
              <w:t>935</w:t>
            </w:r>
          </w:p>
        </w:tc>
        <w:tc>
          <w:tcPr>
            <w:tcW w:w="992" w:type="dxa"/>
            <w:vAlign w:val="center"/>
          </w:tcPr>
          <w:p w:rsidR="007062F6" w:rsidRPr="003831EF" w:rsidRDefault="007062F6" w:rsidP="003831EF">
            <w:pPr>
              <w:jc w:val="center"/>
              <w:rPr>
                <w:sz w:val="20"/>
                <w:szCs w:val="20"/>
              </w:rPr>
            </w:pPr>
            <w:r>
              <w:rPr>
                <w:sz w:val="20"/>
                <w:szCs w:val="20"/>
              </w:rPr>
              <w:t>628</w:t>
            </w:r>
          </w:p>
        </w:tc>
      </w:tr>
      <w:tr w:rsidR="007062F6" w:rsidRPr="00466605" w:rsidTr="007062F6">
        <w:trPr>
          <w:trHeight w:val="357"/>
        </w:trPr>
        <w:tc>
          <w:tcPr>
            <w:tcW w:w="3652" w:type="dxa"/>
          </w:tcPr>
          <w:p w:rsidR="007062F6" w:rsidRPr="00823847" w:rsidRDefault="007062F6" w:rsidP="00823847">
            <w:pPr>
              <w:widowControl w:val="0"/>
              <w:numPr>
                <w:ilvl w:val="12"/>
                <w:numId w:val="0"/>
              </w:numPr>
              <w:jc w:val="both"/>
              <w:rPr>
                <w:sz w:val="18"/>
                <w:szCs w:val="18"/>
              </w:rPr>
            </w:pPr>
            <w:r w:rsidRPr="00823847">
              <w:rPr>
                <w:bCs/>
                <w:sz w:val="18"/>
                <w:szCs w:val="18"/>
              </w:rPr>
              <w:t>Безвозмездные поступления от негосударственных организаций</w:t>
            </w:r>
          </w:p>
        </w:tc>
        <w:tc>
          <w:tcPr>
            <w:tcW w:w="992" w:type="dxa"/>
            <w:vAlign w:val="center"/>
          </w:tcPr>
          <w:p w:rsidR="007062F6" w:rsidRDefault="007062F6" w:rsidP="0031390C">
            <w:pPr>
              <w:widowControl w:val="0"/>
              <w:numPr>
                <w:ilvl w:val="12"/>
                <w:numId w:val="0"/>
              </w:numPr>
              <w:jc w:val="center"/>
              <w:rPr>
                <w:sz w:val="20"/>
                <w:szCs w:val="20"/>
              </w:rPr>
            </w:pPr>
            <w:r>
              <w:rPr>
                <w:sz w:val="20"/>
                <w:szCs w:val="20"/>
              </w:rPr>
              <w:t>2000</w:t>
            </w:r>
          </w:p>
        </w:tc>
        <w:tc>
          <w:tcPr>
            <w:tcW w:w="992" w:type="dxa"/>
            <w:vAlign w:val="center"/>
          </w:tcPr>
          <w:p w:rsidR="007062F6" w:rsidRPr="003831EF" w:rsidRDefault="007062F6" w:rsidP="0031390C">
            <w:pPr>
              <w:widowControl w:val="0"/>
              <w:numPr>
                <w:ilvl w:val="12"/>
                <w:numId w:val="0"/>
              </w:numPr>
              <w:jc w:val="center"/>
              <w:rPr>
                <w:sz w:val="20"/>
                <w:szCs w:val="20"/>
              </w:rPr>
            </w:pPr>
            <w:r>
              <w:rPr>
                <w:sz w:val="20"/>
                <w:szCs w:val="20"/>
              </w:rPr>
              <w:t>0,0</w:t>
            </w:r>
          </w:p>
        </w:tc>
        <w:tc>
          <w:tcPr>
            <w:tcW w:w="992" w:type="dxa"/>
            <w:vAlign w:val="center"/>
          </w:tcPr>
          <w:p w:rsidR="007062F6" w:rsidRPr="007062F6" w:rsidRDefault="007062F6" w:rsidP="007062F6">
            <w:pPr>
              <w:jc w:val="center"/>
              <w:rPr>
                <w:sz w:val="20"/>
                <w:szCs w:val="20"/>
              </w:rPr>
            </w:pPr>
            <w:r w:rsidRPr="007062F6">
              <w:rPr>
                <w:sz w:val="20"/>
                <w:szCs w:val="20"/>
              </w:rPr>
              <w:t>-2000</w:t>
            </w:r>
          </w:p>
        </w:tc>
        <w:tc>
          <w:tcPr>
            <w:tcW w:w="992" w:type="dxa"/>
            <w:vAlign w:val="center"/>
          </w:tcPr>
          <w:p w:rsidR="007062F6" w:rsidRPr="007062F6" w:rsidRDefault="004C6486" w:rsidP="007062F6">
            <w:pPr>
              <w:jc w:val="center"/>
              <w:rPr>
                <w:sz w:val="20"/>
                <w:szCs w:val="20"/>
              </w:rPr>
            </w:pPr>
            <w:r>
              <w:rPr>
                <w:sz w:val="20"/>
                <w:szCs w:val="20"/>
              </w:rPr>
              <w:t>-</w:t>
            </w:r>
          </w:p>
        </w:tc>
        <w:tc>
          <w:tcPr>
            <w:tcW w:w="992" w:type="dxa"/>
            <w:vAlign w:val="center"/>
          </w:tcPr>
          <w:p w:rsidR="007062F6" w:rsidRPr="003831EF" w:rsidRDefault="007062F6" w:rsidP="003831EF">
            <w:pPr>
              <w:snapToGrid w:val="0"/>
              <w:jc w:val="center"/>
              <w:rPr>
                <w:bCs/>
                <w:sz w:val="20"/>
                <w:szCs w:val="20"/>
              </w:rPr>
            </w:pPr>
            <w:r>
              <w:rPr>
                <w:bCs/>
                <w:sz w:val="20"/>
                <w:szCs w:val="20"/>
              </w:rPr>
              <w:t>0,0</w:t>
            </w:r>
          </w:p>
        </w:tc>
        <w:tc>
          <w:tcPr>
            <w:tcW w:w="992" w:type="dxa"/>
            <w:vAlign w:val="center"/>
          </w:tcPr>
          <w:p w:rsidR="007062F6" w:rsidRPr="003831EF" w:rsidRDefault="007062F6"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040DC9">
        <w:t>прибыль, доходов (НДФЛ)</w:t>
      </w:r>
      <w:r w:rsidR="001F1DA0" w:rsidRPr="00297880">
        <w:t xml:space="preserve"> в 202</w:t>
      </w:r>
      <w:r w:rsidR="00297880">
        <w:t>3</w:t>
      </w:r>
      <w:r w:rsidR="001F1DA0" w:rsidRPr="00297880">
        <w:t xml:space="preserve"> году – </w:t>
      </w:r>
      <w:r w:rsidR="00040DC9">
        <w:t>98,6</w:t>
      </w:r>
      <w:r w:rsidR="001F1DA0" w:rsidRPr="00297880">
        <w:t>% (или</w:t>
      </w:r>
      <w:r w:rsidR="001F1DA0">
        <w:t xml:space="preserve"> </w:t>
      </w:r>
      <w:r w:rsidR="00040DC9">
        <w:t>5001,1</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040DC9">
        <w:t>99,1</w:t>
      </w:r>
      <w:r w:rsidR="001F1DA0">
        <w:t>% (</w:t>
      </w:r>
      <w:r w:rsidR="005813D2">
        <w:t xml:space="preserve">или </w:t>
      </w:r>
      <w:r w:rsidR="00040DC9">
        <w:t>5044,3</w:t>
      </w:r>
      <w:r w:rsidR="001F1DA0">
        <w:t xml:space="preserve"> тыс. руб.), в 202</w:t>
      </w:r>
      <w:r w:rsidR="0012595F">
        <w:t>5</w:t>
      </w:r>
      <w:r w:rsidR="001F1DA0">
        <w:t xml:space="preserve">г. – </w:t>
      </w:r>
      <w:r w:rsidR="00040DC9">
        <w:t>99,6</w:t>
      </w:r>
      <w:r w:rsidR="001F1DA0">
        <w:t>% (</w:t>
      </w:r>
      <w:r w:rsidR="005813D2">
        <w:t xml:space="preserve">или </w:t>
      </w:r>
      <w:r w:rsidR="00040DC9">
        <w:t>5068,2</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DF22CF">
        <w:t>5001,1</w:t>
      </w:r>
      <w:r w:rsidRPr="00B03A0F">
        <w:t xml:space="preserve"> тыс. рублей, </w:t>
      </w:r>
      <w:r w:rsidR="00F45DE6">
        <w:t xml:space="preserve">с ростом на </w:t>
      </w:r>
      <w:r w:rsidR="00DF22CF">
        <w:t>333,5</w:t>
      </w:r>
      <w:r w:rsidR="0012595F">
        <w:t xml:space="preserve"> тыс. руб. (</w:t>
      </w:r>
      <w:r w:rsidR="00DF22CF">
        <w:t>+7,1</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DF22CF">
        <w:t>5044,3</w:t>
      </w:r>
      <w:r w:rsidRPr="00B03A0F">
        <w:t xml:space="preserve"> тыс. рублей, в 202</w:t>
      </w:r>
      <w:r w:rsidR="0012595F">
        <w:t>5</w:t>
      </w:r>
      <w:r w:rsidRPr="00B03A0F">
        <w:t xml:space="preserve"> году – </w:t>
      </w:r>
      <w:r w:rsidR="00DF22CF">
        <w:t>5068,2</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7C2B53">
        <w:t>Чиканского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A9738F">
        <w:t>46</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A9738F">
        <w:t>385</w:t>
      </w:r>
      <w:r w:rsidR="00314F7B">
        <w:t xml:space="preserve"> </w:t>
      </w:r>
      <w:r w:rsidR="00106633" w:rsidRPr="009B1744">
        <w:t xml:space="preserve">тыс.руб., </w:t>
      </w:r>
      <w:r w:rsidR="007E21DC">
        <w:t>с</w:t>
      </w:r>
      <w:r w:rsidR="00D4356B">
        <w:t>о</w:t>
      </w:r>
      <w:r w:rsidR="00106633" w:rsidRPr="009B1744">
        <w:t xml:space="preserve"> </w:t>
      </w:r>
      <w:r w:rsidR="00D4356B">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A9738F">
        <w:t>315,4</w:t>
      </w:r>
      <w:r w:rsidR="003134B5">
        <w:t xml:space="preserve"> тыс.</w:t>
      </w:r>
      <w:r w:rsidR="00FD3805">
        <w:t xml:space="preserve"> </w:t>
      </w:r>
      <w:r w:rsidR="003134B5">
        <w:t>руб</w:t>
      </w:r>
      <w:r w:rsidR="003F736E">
        <w:t>лей</w:t>
      </w:r>
      <w:r w:rsidR="003134B5">
        <w:t xml:space="preserve"> (</w:t>
      </w:r>
      <w:r w:rsidR="00D4356B">
        <w:t>-</w:t>
      </w:r>
      <w:r w:rsidR="00A9738F">
        <w:t>45</w:t>
      </w:r>
      <w:r w:rsidR="003134B5">
        <w:t>%)</w:t>
      </w:r>
      <w:r w:rsidR="0085426E">
        <w:t>, на 202</w:t>
      </w:r>
      <w:r w:rsidR="00D4356B">
        <w:t>4</w:t>
      </w:r>
      <w:r w:rsidR="0085426E">
        <w:t xml:space="preserve"> год в сумме </w:t>
      </w:r>
      <w:r w:rsidR="00A9738F">
        <w:t>428,2</w:t>
      </w:r>
      <w:r w:rsidR="0085426E">
        <w:t xml:space="preserve"> тыс. руб., на 202</w:t>
      </w:r>
      <w:r w:rsidR="00D4356B">
        <w:t>5</w:t>
      </w:r>
      <w:r w:rsidR="00583388">
        <w:t xml:space="preserve"> </w:t>
      </w:r>
      <w:r w:rsidR="0085426E">
        <w:t>г</w:t>
      </w:r>
      <w:r w:rsidR="00583388">
        <w:t>од</w:t>
      </w:r>
      <w:r w:rsidR="0085426E">
        <w:t xml:space="preserve">  в сумме </w:t>
      </w:r>
      <w:r w:rsidR="00A9738F">
        <w:t>452,1</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A9738F">
        <w:t>-</w:t>
      </w:r>
      <w:r w:rsidR="00541773">
        <w:t>202</w:t>
      </w:r>
      <w:r w:rsidR="00D4356B">
        <w:t>5</w:t>
      </w:r>
      <w:r w:rsidRPr="00DB174C">
        <w:t xml:space="preserve"> год</w:t>
      </w:r>
      <w:r w:rsidR="00541773">
        <w:t>ы</w:t>
      </w:r>
      <w:r w:rsidRPr="00DB174C">
        <w:t xml:space="preserve"> в сумме </w:t>
      </w:r>
      <w:r w:rsidR="00A9738F">
        <w:t>276,1</w:t>
      </w:r>
      <w:r w:rsidRPr="00DB174C">
        <w:t xml:space="preserve"> тыс.</w:t>
      </w:r>
      <w:r w:rsidR="00541773">
        <w:t xml:space="preserve"> </w:t>
      </w:r>
      <w:r w:rsidRPr="00DB174C">
        <w:t>руб</w:t>
      </w:r>
      <w:r w:rsidR="00FD3805">
        <w:t>лей</w:t>
      </w:r>
      <w:r w:rsidRPr="00DB174C">
        <w:t xml:space="preserve">, </w:t>
      </w:r>
      <w:r w:rsidR="00A9738F">
        <w:t>ежегодно</w:t>
      </w:r>
      <w:r w:rsidR="00541773">
        <w:t xml:space="preserve">, </w:t>
      </w:r>
      <w:r w:rsidRPr="00DB174C">
        <w:t xml:space="preserve">с </w:t>
      </w:r>
      <w:r w:rsidR="00D4356B">
        <w:t>ростом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A9738F">
        <w:t>83,9</w:t>
      </w:r>
      <w:r w:rsidR="007D72A1">
        <w:t xml:space="preserve"> </w:t>
      </w:r>
      <w:r w:rsidRPr="00DB174C">
        <w:t xml:space="preserve">тыс.руб. </w:t>
      </w:r>
      <w:r w:rsidR="00541773">
        <w:t>(</w:t>
      </w:r>
      <w:r w:rsidR="00D4356B">
        <w:t>+</w:t>
      </w:r>
      <w:r w:rsidR="00A9738F">
        <w:t>43,7</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A9738F">
        <w:t>-2025</w:t>
      </w:r>
      <w:r w:rsidR="00D4356B">
        <w:t xml:space="preserve"> год</w:t>
      </w:r>
      <w:r w:rsidR="00A9738F">
        <w:t>ы</w:t>
      </w:r>
      <w:r w:rsidR="00D4356B">
        <w:t xml:space="preserve"> </w:t>
      </w:r>
      <w:r w:rsidRPr="00DB174C">
        <w:t xml:space="preserve">в сумме </w:t>
      </w:r>
      <w:r w:rsidR="00A9738F">
        <w:t>70</w:t>
      </w:r>
      <w:r w:rsidR="00DB174C" w:rsidRPr="00DB174C">
        <w:t xml:space="preserve"> </w:t>
      </w:r>
      <w:r w:rsidRPr="00DB174C">
        <w:t>тыс.</w:t>
      </w:r>
      <w:r w:rsidR="00541773">
        <w:t xml:space="preserve"> </w:t>
      </w:r>
      <w:r w:rsidRPr="00DB174C">
        <w:t>руб</w:t>
      </w:r>
      <w:r w:rsidR="00913187">
        <w:t>лей</w:t>
      </w:r>
      <w:r w:rsidR="00EC77A8">
        <w:t xml:space="preserve">, </w:t>
      </w:r>
      <w:r w:rsidR="00A9738F">
        <w:t xml:space="preserve">ежегодно, </w:t>
      </w:r>
      <w:r w:rsidR="005813D2">
        <w:t xml:space="preserve">с </w:t>
      </w:r>
      <w:r w:rsidR="00D4356B">
        <w:t>ростом</w:t>
      </w:r>
      <w:r w:rsidR="005813D2">
        <w:t xml:space="preserve">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5813D2">
        <w:t xml:space="preserve"> на </w:t>
      </w:r>
      <w:r w:rsidR="00A9738F">
        <w:t>26</w:t>
      </w:r>
      <w:r w:rsidR="00D4356B">
        <w:t xml:space="preserve"> тыс. руб. (</w:t>
      </w:r>
      <w:r w:rsidR="00A9738F">
        <w:t>+59,1%</w:t>
      </w:r>
      <w:r w:rsidR="005813D2">
        <w:t>)</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060BDD">
        <w:t>149,1</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 xml:space="preserve">с </w:t>
      </w:r>
      <w:r w:rsidR="00060BDD">
        <w:t>ростом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 на </w:t>
      </w:r>
      <w:r w:rsidR="00060BDD">
        <w:t>57,9 тыс. руб. (+63,5</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060BDD">
        <w:t>57</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405B4" w:rsidRPr="00B405B4" w:rsidRDefault="00B405B4" w:rsidP="008179F6">
      <w:pPr>
        <w:widowControl w:val="0"/>
        <w:numPr>
          <w:ilvl w:val="12"/>
          <w:numId w:val="0"/>
        </w:numPr>
        <w:ind w:firstLine="567"/>
        <w:jc w:val="both"/>
      </w:pPr>
      <w:r>
        <w:rPr>
          <w:b/>
        </w:rPr>
        <w:t xml:space="preserve">Доходы от использования имущества, находящегося в государственной и муниципальной собственности </w:t>
      </w:r>
      <w:r w:rsidR="0028665E">
        <w:t>прогнозируются в доходах местного бюджета на 2023 год в сумме 49 тыс. рублей, со снижением на 5,4 тыс. руб. (-9,9%) к оценке исполнения в 2022 году, на 2024 год в сумме 23,5 тыс. руб., на 2025 год – 0,0 тыс. руб.</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C96794">
        <w:t>20</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C96794">
        <w:t>на</w:t>
      </w:r>
      <w:r w:rsidR="00843C36">
        <w:t xml:space="preserve"> уровн</w:t>
      </w:r>
      <w:r w:rsidR="00C96794">
        <w:t>е</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1F429A">
        <w:t>7194,6</w:t>
      </w:r>
      <w:r w:rsidR="009E42BA">
        <w:t xml:space="preserve"> тыс. рублей, </w:t>
      </w:r>
      <w:r w:rsidR="00E118AF">
        <w:t>со снижением</w:t>
      </w:r>
      <w:r w:rsidR="009E42BA">
        <w:t xml:space="preserve"> на </w:t>
      </w:r>
      <w:r w:rsidR="001F429A">
        <w:t xml:space="preserve">5177,3 </w:t>
      </w:r>
      <w:r w:rsidR="009E42BA">
        <w:t xml:space="preserve">тыс. рублей </w:t>
      </w:r>
      <w:r w:rsidR="00834B6D">
        <w:t>(-</w:t>
      </w:r>
      <w:r w:rsidR="001F429A">
        <w:t>41,8</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1F429A">
        <w:t>7242,1</w:t>
      </w:r>
      <w:r w:rsidR="009E42BA">
        <w:t xml:space="preserve"> тыс. рублей и </w:t>
      </w:r>
      <w:r w:rsidR="001F429A">
        <w:t>7447,6</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7C2B53">
        <w:t>Чиканского</w:t>
      </w:r>
      <w:r>
        <w:t xml:space="preserve"> муниципального образования на 2023 год в общей сумме </w:t>
      </w:r>
      <w:r w:rsidR="001F429A">
        <w:t>5906,2</w:t>
      </w:r>
      <w:r>
        <w:t xml:space="preserve"> тыс. рублей (в том числе за счет субвенции, предоставленной бюджету МО «Жигаловский район» из областного бюджета в сумме </w:t>
      </w:r>
      <w:r w:rsidR="001F429A">
        <w:t>3936</w:t>
      </w:r>
      <w:r>
        <w:t xml:space="preserve"> тыс. руб. и средств районного бюджета в сумме </w:t>
      </w:r>
      <w:r w:rsidR="001F429A">
        <w:t>1970,2</w:t>
      </w:r>
      <w:r>
        <w:t xml:space="preserve"> тыс. руб.), по сравнению с оценкой исполнения 2022 года, имеет тенденцию к </w:t>
      </w:r>
      <w:r w:rsidR="001F429A">
        <w:t>снижению</w:t>
      </w:r>
      <w:r>
        <w:t xml:space="preserve"> на </w:t>
      </w:r>
      <w:r w:rsidR="001F429A">
        <w:t>576,1 тыс. рублей (-8,9</w:t>
      </w:r>
      <w:r>
        <w:t xml:space="preserve">%). В 2024-2025 годах объем дотаций составит </w:t>
      </w:r>
      <w:r w:rsidR="001F429A">
        <w:t>5824,4</w:t>
      </w:r>
      <w:r>
        <w:t xml:space="preserve"> тыс. рублей (областной бюджет – </w:t>
      </w:r>
      <w:r w:rsidR="001F429A">
        <w:t>3753,3</w:t>
      </w:r>
      <w:r>
        <w:t xml:space="preserve"> тыс. руб., районный бюджет – </w:t>
      </w:r>
      <w:r w:rsidR="001F429A">
        <w:t>2071,1</w:t>
      </w:r>
      <w:r>
        <w:t xml:space="preserve"> тыс. руб.) и </w:t>
      </w:r>
      <w:r w:rsidR="001F429A">
        <w:t>6330,1</w:t>
      </w:r>
      <w:r>
        <w:t xml:space="preserve"> тыс. рублей (областной бюджет – </w:t>
      </w:r>
      <w:r w:rsidR="001F429A">
        <w:t>4065,1</w:t>
      </w:r>
      <w:r>
        <w:t xml:space="preserve"> тыс. руб., районный бюджет – </w:t>
      </w:r>
      <w:r w:rsidR="001F429A">
        <w:t>2265</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5E45C8">
        <w:t>300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7C2B53">
        <w:t>Чиканского</w:t>
      </w:r>
      <w:r>
        <w:t xml:space="preserve"> </w:t>
      </w:r>
      <w:r w:rsidR="001F6014">
        <w:t>муниципального образования</w:t>
      </w:r>
      <w:r>
        <w:t xml:space="preserve"> предусмотрен на 202</w:t>
      </w:r>
      <w:r w:rsidR="00AE2C7B">
        <w:t>3</w:t>
      </w:r>
      <w:r>
        <w:t xml:space="preserve"> год в сумме </w:t>
      </w:r>
      <w:r w:rsidR="00611D3B">
        <w:t>814</w:t>
      </w:r>
      <w:r>
        <w:t xml:space="preserve"> тыс. руб., на 202</w:t>
      </w:r>
      <w:r w:rsidR="00AE2C7B">
        <w:t>4</w:t>
      </w:r>
      <w:r>
        <w:t xml:space="preserve"> год  - </w:t>
      </w:r>
      <w:r w:rsidR="00611D3B">
        <w:t>935</w:t>
      </w:r>
      <w:r>
        <w:t xml:space="preserve"> тыс. рублей, на 202</w:t>
      </w:r>
      <w:r w:rsidR="00AE2C7B">
        <w:t>5</w:t>
      </w:r>
      <w:r>
        <w:t xml:space="preserve"> год  - </w:t>
      </w:r>
      <w:r w:rsidR="00611D3B">
        <w:t>628</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7C2B53">
        <w:t>Чиканского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611D3B">
        <w:t>82,1</w:t>
      </w:r>
      <w:r w:rsidRPr="00715968">
        <w:t>%,</w:t>
      </w:r>
      <w:r w:rsidRPr="00386290">
        <w:t xml:space="preserve"> </w:t>
      </w:r>
      <w:r w:rsidR="00AE2C7B">
        <w:t>иные</w:t>
      </w:r>
      <w:r w:rsidR="005E45C8">
        <w:t xml:space="preserve"> МБТ </w:t>
      </w:r>
      <w:r w:rsidR="001F6014">
        <w:t>–</w:t>
      </w:r>
      <w:r w:rsidR="005E45C8">
        <w:t xml:space="preserve"> </w:t>
      </w:r>
      <w:r w:rsidR="00611D3B">
        <w:t>11,3</w:t>
      </w:r>
      <w:r w:rsidR="001F6014">
        <w:t xml:space="preserve">%, </w:t>
      </w:r>
      <w:r>
        <w:t xml:space="preserve">субсидии – </w:t>
      </w:r>
      <w:r w:rsidR="00611D3B">
        <w:t>4,2</w:t>
      </w:r>
      <w:r>
        <w:t xml:space="preserve">%, </w:t>
      </w:r>
      <w:r w:rsidRPr="00715968">
        <w:t>субвенции</w:t>
      </w:r>
      <w:r>
        <w:t xml:space="preserve"> – </w:t>
      </w:r>
      <w:r w:rsidR="00611D3B">
        <w:t>2</w:t>
      </w:r>
      <w:r w:rsidR="001F6014">
        <w:t>,4</w:t>
      </w:r>
      <w:r>
        <w:t>%.</w:t>
      </w:r>
      <w:r w:rsidRPr="00715968">
        <w:t xml:space="preserve"> </w:t>
      </w:r>
    </w:p>
    <w:p w:rsidR="00175538" w:rsidRDefault="00175538" w:rsidP="00175538">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7C2B53">
        <w:t>Чиканского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7C2B53">
        <w:t>Чиканского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rsidR="007C2B53">
        <w:t>Чиканского</w:t>
      </w:r>
      <w:r>
        <w:t xml:space="preserve"> сельского поселения,</w:t>
      </w:r>
      <w:r w:rsidRPr="00466605">
        <w:t xml:space="preserve"> предлагается утвердить общий объем расходов местного бюджета на 202</w:t>
      </w:r>
      <w:r>
        <w:t>3</w:t>
      </w:r>
      <w:r w:rsidRPr="00466605">
        <w:t xml:space="preserve"> год в сумме </w:t>
      </w:r>
      <w:r w:rsidR="00AC4047">
        <w:t>12634,9</w:t>
      </w:r>
      <w:r w:rsidRPr="00466605">
        <w:t xml:space="preserve"> тыс. рублей,</w:t>
      </w:r>
      <w:r>
        <w:t xml:space="preserve"> со снижением на </w:t>
      </w:r>
      <w:r w:rsidR="00AC4047">
        <w:t>5360,8</w:t>
      </w:r>
      <w:r>
        <w:t xml:space="preserve"> тыс. руб. (-</w:t>
      </w:r>
      <w:r w:rsidR="00AC4047">
        <w:t>29,8</w:t>
      </w:r>
      <w:r>
        <w:t xml:space="preserve">%) к оценке исполнения 2022г., </w:t>
      </w:r>
      <w:r w:rsidRPr="00466605">
        <w:t>на 202</w:t>
      </w:r>
      <w:r>
        <w:t>4</w:t>
      </w:r>
      <w:r w:rsidRPr="00466605">
        <w:t xml:space="preserve"> год – </w:t>
      </w:r>
      <w:r w:rsidR="00AC4047">
        <w:t>12709,1</w:t>
      </w:r>
      <w:r>
        <w:t xml:space="preserve"> </w:t>
      </w:r>
      <w:r w:rsidRPr="00466605">
        <w:t>тыс. рублей</w:t>
      </w:r>
      <w:r>
        <w:t xml:space="preserve"> (в том числе условно утвержденные расходы в сумме </w:t>
      </w:r>
      <w:r w:rsidR="00AC4047">
        <w:t>306</w:t>
      </w:r>
      <w:r>
        <w:t xml:space="preserve"> тыс. рублей)</w:t>
      </w:r>
      <w:r w:rsidRPr="00466605">
        <w:t>, на 202</w:t>
      </w:r>
      <w:r>
        <w:t>5</w:t>
      </w:r>
      <w:r w:rsidRPr="00466605">
        <w:t xml:space="preserve"> год – </w:t>
      </w:r>
      <w:r w:rsidR="00AC4047">
        <w:t>12901,7</w:t>
      </w:r>
      <w:r w:rsidRPr="00466605">
        <w:t xml:space="preserve"> тыс. рублей</w:t>
      </w:r>
      <w:r>
        <w:t xml:space="preserve"> (в том числе условно утвержденные расходы в сумме </w:t>
      </w:r>
      <w:r w:rsidR="00AC4047">
        <w:t>621</w:t>
      </w:r>
      <w:r>
        <w:t xml:space="preserve">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7C2B53">
        <w:t>Чиканского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w:t>
      </w:r>
      <w:r w:rsidR="00B63340">
        <w:rPr>
          <w:rFonts w:eastAsia="SimSun"/>
        </w:rPr>
        <w:t>3</w:t>
      </w:r>
      <w:r w:rsidR="00663C5C">
        <w:rPr>
          <w:rFonts w:eastAsia="SimSun"/>
        </w:rPr>
        <w:t xml:space="preserve">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4E39A3" w:rsidRDefault="004E39A3"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B71BB9" w:rsidRPr="002A072A" w:rsidTr="00B71BB9">
        <w:tc>
          <w:tcPr>
            <w:tcW w:w="4219" w:type="dxa"/>
          </w:tcPr>
          <w:p w:rsidR="00B71BB9" w:rsidRPr="00883B52" w:rsidRDefault="00B71BB9"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B71BB9" w:rsidRPr="00601AE1" w:rsidRDefault="00B71BB9" w:rsidP="006D30B0">
            <w:pPr>
              <w:widowControl w:val="0"/>
              <w:numPr>
                <w:ilvl w:val="12"/>
                <w:numId w:val="0"/>
              </w:numPr>
              <w:jc w:val="center"/>
              <w:rPr>
                <w:b/>
                <w:sz w:val="16"/>
                <w:szCs w:val="16"/>
              </w:rPr>
            </w:pPr>
            <w:r>
              <w:rPr>
                <w:b/>
                <w:sz w:val="16"/>
                <w:szCs w:val="16"/>
              </w:rPr>
              <w:t>17995,7</w:t>
            </w:r>
          </w:p>
        </w:tc>
        <w:tc>
          <w:tcPr>
            <w:tcW w:w="1134" w:type="dxa"/>
            <w:vAlign w:val="center"/>
          </w:tcPr>
          <w:p w:rsidR="00B71BB9" w:rsidRPr="00601AE1" w:rsidRDefault="00B71BB9" w:rsidP="006D30B0">
            <w:pPr>
              <w:widowControl w:val="0"/>
              <w:numPr>
                <w:ilvl w:val="12"/>
                <w:numId w:val="0"/>
              </w:numPr>
              <w:jc w:val="center"/>
              <w:rPr>
                <w:b/>
                <w:sz w:val="16"/>
                <w:szCs w:val="16"/>
              </w:rPr>
            </w:pPr>
            <w:r>
              <w:rPr>
                <w:b/>
                <w:sz w:val="16"/>
                <w:szCs w:val="16"/>
              </w:rPr>
              <w:t>12634,9</w:t>
            </w:r>
          </w:p>
        </w:tc>
        <w:tc>
          <w:tcPr>
            <w:tcW w:w="1134" w:type="dxa"/>
            <w:vAlign w:val="center"/>
          </w:tcPr>
          <w:p w:rsidR="00B71BB9" w:rsidRPr="00B71BB9" w:rsidRDefault="00B71BB9" w:rsidP="00B71BB9">
            <w:pPr>
              <w:jc w:val="center"/>
              <w:rPr>
                <w:b/>
                <w:sz w:val="16"/>
                <w:szCs w:val="16"/>
              </w:rPr>
            </w:pPr>
            <w:r w:rsidRPr="00B71BB9">
              <w:rPr>
                <w:b/>
                <w:sz w:val="16"/>
                <w:szCs w:val="16"/>
              </w:rPr>
              <w:t>-5360,8</w:t>
            </w:r>
          </w:p>
        </w:tc>
        <w:tc>
          <w:tcPr>
            <w:tcW w:w="1134" w:type="dxa"/>
            <w:vAlign w:val="center"/>
          </w:tcPr>
          <w:p w:rsidR="00B71BB9" w:rsidRPr="00B71BB9" w:rsidRDefault="00B71BB9" w:rsidP="00B71BB9">
            <w:pPr>
              <w:jc w:val="center"/>
              <w:rPr>
                <w:b/>
                <w:sz w:val="16"/>
                <w:szCs w:val="16"/>
              </w:rPr>
            </w:pPr>
            <w:r w:rsidRPr="00B71BB9">
              <w:rPr>
                <w:b/>
                <w:sz w:val="16"/>
                <w:szCs w:val="16"/>
              </w:rPr>
              <w:t>70,2</w:t>
            </w:r>
          </w:p>
        </w:tc>
        <w:tc>
          <w:tcPr>
            <w:tcW w:w="1098" w:type="dxa"/>
            <w:vAlign w:val="center"/>
          </w:tcPr>
          <w:p w:rsidR="00B71BB9" w:rsidRPr="00832FBF" w:rsidRDefault="00831807" w:rsidP="009D239D">
            <w:pPr>
              <w:widowControl w:val="0"/>
              <w:numPr>
                <w:ilvl w:val="12"/>
                <w:numId w:val="0"/>
              </w:numPr>
              <w:jc w:val="center"/>
              <w:rPr>
                <w:b/>
                <w:sz w:val="16"/>
                <w:szCs w:val="16"/>
              </w:rPr>
            </w:pPr>
            <w:r>
              <w:rPr>
                <w:b/>
                <w:sz w:val="16"/>
                <w:szCs w:val="16"/>
              </w:rPr>
              <w:t>100</w:t>
            </w:r>
          </w:p>
        </w:tc>
      </w:tr>
      <w:tr w:rsidR="00B71BB9" w:rsidRPr="002A072A" w:rsidTr="00B71BB9">
        <w:tc>
          <w:tcPr>
            <w:tcW w:w="4219" w:type="dxa"/>
          </w:tcPr>
          <w:p w:rsidR="00B71BB9" w:rsidRPr="00832FBF" w:rsidRDefault="00B71BB9"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B71BB9" w:rsidRPr="00601AE1" w:rsidRDefault="00B71BB9" w:rsidP="006D30B0">
            <w:pPr>
              <w:widowControl w:val="0"/>
              <w:numPr>
                <w:ilvl w:val="12"/>
                <w:numId w:val="0"/>
              </w:numPr>
              <w:jc w:val="center"/>
              <w:rPr>
                <w:b/>
                <w:sz w:val="16"/>
                <w:szCs w:val="16"/>
              </w:rPr>
            </w:pPr>
            <w:r>
              <w:rPr>
                <w:b/>
                <w:sz w:val="16"/>
                <w:szCs w:val="16"/>
              </w:rPr>
              <w:t>7204,5</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7105,7</w:t>
            </w:r>
          </w:p>
        </w:tc>
        <w:tc>
          <w:tcPr>
            <w:tcW w:w="1134" w:type="dxa"/>
            <w:vAlign w:val="center"/>
          </w:tcPr>
          <w:p w:rsidR="00B71BB9" w:rsidRPr="00B71BB9" w:rsidRDefault="00B71BB9" w:rsidP="00B71BB9">
            <w:pPr>
              <w:jc w:val="center"/>
              <w:rPr>
                <w:b/>
                <w:sz w:val="16"/>
                <w:szCs w:val="16"/>
              </w:rPr>
            </w:pPr>
            <w:r w:rsidRPr="00B71BB9">
              <w:rPr>
                <w:b/>
                <w:sz w:val="16"/>
                <w:szCs w:val="16"/>
              </w:rPr>
              <w:t>-98,8</w:t>
            </w:r>
          </w:p>
        </w:tc>
        <w:tc>
          <w:tcPr>
            <w:tcW w:w="1134" w:type="dxa"/>
            <w:vAlign w:val="center"/>
          </w:tcPr>
          <w:p w:rsidR="00B71BB9" w:rsidRPr="00B71BB9" w:rsidRDefault="00B71BB9" w:rsidP="00B71BB9">
            <w:pPr>
              <w:jc w:val="center"/>
              <w:rPr>
                <w:b/>
                <w:sz w:val="16"/>
                <w:szCs w:val="16"/>
              </w:rPr>
            </w:pPr>
            <w:r w:rsidRPr="00B71BB9">
              <w:rPr>
                <w:b/>
                <w:sz w:val="16"/>
                <w:szCs w:val="16"/>
              </w:rPr>
              <w:t>98,6</w:t>
            </w:r>
          </w:p>
        </w:tc>
        <w:tc>
          <w:tcPr>
            <w:tcW w:w="1098" w:type="dxa"/>
            <w:vAlign w:val="center"/>
          </w:tcPr>
          <w:p w:rsidR="00B71BB9" w:rsidRDefault="00B71BB9" w:rsidP="00DB5C6B">
            <w:pPr>
              <w:widowControl w:val="0"/>
              <w:numPr>
                <w:ilvl w:val="12"/>
                <w:numId w:val="0"/>
              </w:numPr>
              <w:jc w:val="center"/>
              <w:rPr>
                <w:b/>
                <w:sz w:val="16"/>
                <w:szCs w:val="16"/>
              </w:rPr>
            </w:pPr>
          </w:p>
          <w:p w:rsidR="00E20652" w:rsidRDefault="00E20652" w:rsidP="00DB5C6B">
            <w:pPr>
              <w:widowControl w:val="0"/>
              <w:numPr>
                <w:ilvl w:val="12"/>
                <w:numId w:val="0"/>
              </w:numPr>
              <w:jc w:val="center"/>
              <w:rPr>
                <w:b/>
                <w:sz w:val="16"/>
                <w:szCs w:val="16"/>
              </w:rPr>
            </w:pPr>
          </w:p>
          <w:p w:rsidR="00DF1DE9" w:rsidRPr="00832FBF" w:rsidRDefault="00DF1DE9" w:rsidP="00DB5C6B">
            <w:pPr>
              <w:widowControl w:val="0"/>
              <w:numPr>
                <w:ilvl w:val="12"/>
                <w:numId w:val="0"/>
              </w:numPr>
              <w:jc w:val="center"/>
              <w:rPr>
                <w:b/>
                <w:sz w:val="16"/>
                <w:szCs w:val="16"/>
              </w:rPr>
            </w:pPr>
            <w:r>
              <w:rPr>
                <w:b/>
                <w:sz w:val="16"/>
                <w:szCs w:val="16"/>
              </w:rPr>
              <w:t>56,2</w:t>
            </w:r>
          </w:p>
        </w:tc>
      </w:tr>
      <w:tr w:rsidR="00B71BB9" w:rsidRPr="002A072A" w:rsidTr="00B71BB9">
        <w:tc>
          <w:tcPr>
            <w:tcW w:w="4219" w:type="dxa"/>
          </w:tcPr>
          <w:p w:rsidR="00B71BB9" w:rsidRPr="001E0253" w:rsidRDefault="00B71BB9"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1036,9</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1230</w:t>
            </w:r>
          </w:p>
        </w:tc>
        <w:tc>
          <w:tcPr>
            <w:tcW w:w="1134" w:type="dxa"/>
            <w:vAlign w:val="center"/>
          </w:tcPr>
          <w:p w:rsidR="00B71BB9" w:rsidRPr="00B71BB9" w:rsidRDefault="00B71BB9" w:rsidP="00B71BB9">
            <w:pPr>
              <w:jc w:val="center"/>
              <w:rPr>
                <w:sz w:val="16"/>
                <w:szCs w:val="16"/>
              </w:rPr>
            </w:pPr>
            <w:r w:rsidRPr="00B71BB9">
              <w:rPr>
                <w:sz w:val="16"/>
                <w:szCs w:val="16"/>
              </w:rPr>
              <w:t>193,1</w:t>
            </w:r>
          </w:p>
        </w:tc>
        <w:tc>
          <w:tcPr>
            <w:tcW w:w="1134" w:type="dxa"/>
            <w:vAlign w:val="center"/>
          </w:tcPr>
          <w:p w:rsidR="00B71BB9" w:rsidRPr="00B71BB9" w:rsidRDefault="00B71BB9" w:rsidP="00B71BB9">
            <w:pPr>
              <w:jc w:val="center"/>
              <w:rPr>
                <w:sz w:val="16"/>
                <w:szCs w:val="16"/>
              </w:rPr>
            </w:pPr>
            <w:r w:rsidRPr="00B71BB9">
              <w:rPr>
                <w:sz w:val="16"/>
                <w:szCs w:val="16"/>
              </w:rPr>
              <w:t>118,6</w:t>
            </w:r>
          </w:p>
        </w:tc>
        <w:tc>
          <w:tcPr>
            <w:tcW w:w="1098" w:type="dxa"/>
            <w:vAlign w:val="center"/>
          </w:tcPr>
          <w:p w:rsidR="00B71BB9" w:rsidRDefault="00DF1DE9" w:rsidP="00DB5C6B">
            <w:pPr>
              <w:widowControl w:val="0"/>
              <w:numPr>
                <w:ilvl w:val="12"/>
                <w:numId w:val="0"/>
              </w:numPr>
              <w:jc w:val="center"/>
              <w:rPr>
                <w:sz w:val="16"/>
                <w:szCs w:val="16"/>
              </w:rPr>
            </w:pPr>
            <w:r>
              <w:rPr>
                <w:sz w:val="16"/>
                <w:szCs w:val="16"/>
              </w:rPr>
              <w:t>9,7</w:t>
            </w:r>
          </w:p>
        </w:tc>
      </w:tr>
      <w:tr w:rsidR="00B71BB9" w:rsidRPr="002A072A" w:rsidTr="00B71BB9">
        <w:tc>
          <w:tcPr>
            <w:tcW w:w="4219" w:type="dxa"/>
          </w:tcPr>
          <w:p w:rsidR="00B71BB9" w:rsidRPr="001E0253" w:rsidRDefault="00B71BB9"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2</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2</w:t>
            </w:r>
          </w:p>
        </w:tc>
        <w:tc>
          <w:tcPr>
            <w:tcW w:w="1134" w:type="dxa"/>
            <w:vAlign w:val="center"/>
          </w:tcPr>
          <w:p w:rsidR="00B71BB9" w:rsidRPr="00B71BB9" w:rsidRDefault="00B71BB9" w:rsidP="00B71BB9">
            <w:pPr>
              <w:jc w:val="center"/>
              <w:rPr>
                <w:sz w:val="16"/>
                <w:szCs w:val="16"/>
              </w:rPr>
            </w:pPr>
            <w:r w:rsidRPr="00B71BB9">
              <w:rPr>
                <w:sz w:val="16"/>
                <w:szCs w:val="16"/>
              </w:rPr>
              <w:t>0</w:t>
            </w:r>
            <w:r w:rsidR="00DF1DE9">
              <w:rPr>
                <w:sz w:val="16"/>
                <w:szCs w:val="16"/>
              </w:rPr>
              <w:t>,0</w:t>
            </w:r>
          </w:p>
        </w:tc>
        <w:tc>
          <w:tcPr>
            <w:tcW w:w="1134" w:type="dxa"/>
            <w:vAlign w:val="center"/>
          </w:tcPr>
          <w:p w:rsidR="00B71BB9" w:rsidRPr="00B71BB9" w:rsidRDefault="00B71BB9" w:rsidP="00DF1DE9">
            <w:pPr>
              <w:jc w:val="center"/>
              <w:rPr>
                <w:sz w:val="16"/>
                <w:szCs w:val="16"/>
              </w:rPr>
            </w:pPr>
            <w:r w:rsidRPr="00B71BB9">
              <w:rPr>
                <w:sz w:val="16"/>
                <w:szCs w:val="16"/>
              </w:rPr>
              <w:t>100</w:t>
            </w:r>
          </w:p>
        </w:tc>
        <w:tc>
          <w:tcPr>
            <w:tcW w:w="1098" w:type="dxa"/>
            <w:vAlign w:val="center"/>
          </w:tcPr>
          <w:p w:rsidR="00B71BB9" w:rsidRDefault="00DF1DE9" w:rsidP="00DB5C6B">
            <w:pPr>
              <w:widowControl w:val="0"/>
              <w:numPr>
                <w:ilvl w:val="12"/>
                <w:numId w:val="0"/>
              </w:numPr>
              <w:jc w:val="center"/>
              <w:rPr>
                <w:sz w:val="16"/>
                <w:szCs w:val="16"/>
              </w:rPr>
            </w:pPr>
            <w:r>
              <w:rPr>
                <w:sz w:val="16"/>
                <w:szCs w:val="16"/>
              </w:rPr>
              <w:t>0,02</w:t>
            </w:r>
          </w:p>
        </w:tc>
      </w:tr>
      <w:tr w:rsidR="00B71BB9" w:rsidRPr="002A072A" w:rsidTr="00B71BB9">
        <w:tc>
          <w:tcPr>
            <w:tcW w:w="4219" w:type="dxa"/>
          </w:tcPr>
          <w:p w:rsidR="00B71BB9" w:rsidRPr="001E0253" w:rsidRDefault="00B71BB9"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5979,9</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5858</w:t>
            </w:r>
          </w:p>
        </w:tc>
        <w:tc>
          <w:tcPr>
            <w:tcW w:w="1134" w:type="dxa"/>
            <w:vAlign w:val="center"/>
          </w:tcPr>
          <w:p w:rsidR="00B71BB9" w:rsidRPr="00B71BB9" w:rsidRDefault="00B71BB9" w:rsidP="00B71BB9">
            <w:pPr>
              <w:jc w:val="center"/>
              <w:rPr>
                <w:sz w:val="16"/>
                <w:szCs w:val="16"/>
              </w:rPr>
            </w:pPr>
            <w:r w:rsidRPr="00B71BB9">
              <w:rPr>
                <w:sz w:val="16"/>
                <w:szCs w:val="16"/>
              </w:rPr>
              <w:t>-121,9</w:t>
            </w:r>
          </w:p>
        </w:tc>
        <w:tc>
          <w:tcPr>
            <w:tcW w:w="1134" w:type="dxa"/>
            <w:vAlign w:val="center"/>
          </w:tcPr>
          <w:p w:rsidR="00B71BB9" w:rsidRPr="00B71BB9" w:rsidRDefault="00B71BB9" w:rsidP="00DF1DE9">
            <w:pPr>
              <w:jc w:val="center"/>
              <w:rPr>
                <w:sz w:val="16"/>
                <w:szCs w:val="16"/>
              </w:rPr>
            </w:pPr>
            <w:r w:rsidRPr="00B71BB9">
              <w:rPr>
                <w:sz w:val="16"/>
                <w:szCs w:val="16"/>
              </w:rPr>
              <w:t>98</w:t>
            </w:r>
          </w:p>
        </w:tc>
        <w:tc>
          <w:tcPr>
            <w:tcW w:w="1098" w:type="dxa"/>
            <w:vAlign w:val="center"/>
          </w:tcPr>
          <w:p w:rsidR="00B71BB9" w:rsidRDefault="00DF1DE9" w:rsidP="00DB5C6B">
            <w:pPr>
              <w:widowControl w:val="0"/>
              <w:numPr>
                <w:ilvl w:val="12"/>
                <w:numId w:val="0"/>
              </w:numPr>
              <w:jc w:val="center"/>
              <w:rPr>
                <w:sz w:val="16"/>
                <w:szCs w:val="16"/>
              </w:rPr>
            </w:pPr>
            <w:r>
              <w:rPr>
                <w:sz w:val="16"/>
                <w:szCs w:val="16"/>
              </w:rPr>
              <w:t>46,4</w:t>
            </w:r>
          </w:p>
        </w:tc>
      </w:tr>
      <w:tr w:rsidR="00B71BB9" w:rsidRPr="002A072A" w:rsidTr="00B71BB9">
        <w:tc>
          <w:tcPr>
            <w:tcW w:w="4219" w:type="dxa"/>
          </w:tcPr>
          <w:p w:rsidR="00B71BB9" w:rsidRPr="00883B52" w:rsidRDefault="00B71BB9" w:rsidP="006D30B0">
            <w:pPr>
              <w:widowControl w:val="0"/>
              <w:rPr>
                <w:sz w:val="16"/>
                <w:szCs w:val="16"/>
              </w:rPr>
            </w:pPr>
            <w:r w:rsidRPr="00883B52">
              <w:rPr>
                <w:sz w:val="16"/>
                <w:szCs w:val="16"/>
              </w:rPr>
              <w:t>Резервный фонд (0111)</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15</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15</w:t>
            </w:r>
          </w:p>
        </w:tc>
        <w:tc>
          <w:tcPr>
            <w:tcW w:w="1134" w:type="dxa"/>
            <w:vAlign w:val="center"/>
          </w:tcPr>
          <w:p w:rsidR="00B71BB9" w:rsidRPr="00B71BB9" w:rsidRDefault="00B71BB9" w:rsidP="00B71BB9">
            <w:pPr>
              <w:jc w:val="center"/>
              <w:rPr>
                <w:sz w:val="16"/>
                <w:szCs w:val="16"/>
              </w:rPr>
            </w:pPr>
            <w:r w:rsidRPr="00B71BB9">
              <w:rPr>
                <w:sz w:val="16"/>
                <w:szCs w:val="16"/>
              </w:rPr>
              <w:t>0</w:t>
            </w:r>
            <w:r w:rsidR="00DF1DE9">
              <w:rPr>
                <w:sz w:val="16"/>
                <w:szCs w:val="16"/>
              </w:rPr>
              <w:t>,0</w:t>
            </w:r>
          </w:p>
        </w:tc>
        <w:tc>
          <w:tcPr>
            <w:tcW w:w="1134" w:type="dxa"/>
            <w:vAlign w:val="center"/>
          </w:tcPr>
          <w:p w:rsidR="00B71BB9" w:rsidRPr="00B71BB9" w:rsidRDefault="00B71BB9" w:rsidP="00DF1DE9">
            <w:pPr>
              <w:jc w:val="center"/>
              <w:rPr>
                <w:sz w:val="16"/>
                <w:szCs w:val="16"/>
              </w:rPr>
            </w:pPr>
            <w:r w:rsidRPr="00B71BB9">
              <w:rPr>
                <w:sz w:val="16"/>
                <w:szCs w:val="16"/>
              </w:rPr>
              <w:t>100</w:t>
            </w:r>
          </w:p>
        </w:tc>
        <w:tc>
          <w:tcPr>
            <w:tcW w:w="1098" w:type="dxa"/>
            <w:vAlign w:val="center"/>
          </w:tcPr>
          <w:p w:rsidR="00B71BB9" w:rsidRDefault="002A187F" w:rsidP="00DB5C6B">
            <w:pPr>
              <w:widowControl w:val="0"/>
              <w:numPr>
                <w:ilvl w:val="12"/>
                <w:numId w:val="0"/>
              </w:numPr>
              <w:jc w:val="center"/>
              <w:rPr>
                <w:sz w:val="16"/>
                <w:szCs w:val="16"/>
              </w:rPr>
            </w:pPr>
            <w:r>
              <w:rPr>
                <w:sz w:val="16"/>
                <w:szCs w:val="16"/>
              </w:rPr>
              <w:t>0,1</w:t>
            </w:r>
          </w:p>
        </w:tc>
      </w:tr>
      <w:tr w:rsidR="00B71BB9" w:rsidRPr="002A072A" w:rsidTr="00B71BB9">
        <w:tc>
          <w:tcPr>
            <w:tcW w:w="4219" w:type="dxa"/>
          </w:tcPr>
          <w:p w:rsidR="00B71BB9" w:rsidRPr="00883B52" w:rsidRDefault="00B71BB9"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0,7</w:t>
            </w:r>
          </w:p>
        </w:tc>
        <w:tc>
          <w:tcPr>
            <w:tcW w:w="1134" w:type="dxa"/>
            <w:vAlign w:val="center"/>
          </w:tcPr>
          <w:p w:rsidR="00B71BB9" w:rsidRPr="00601AE1" w:rsidRDefault="00B71BB9" w:rsidP="00DB5C6B">
            <w:pPr>
              <w:widowControl w:val="0"/>
              <w:numPr>
                <w:ilvl w:val="12"/>
                <w:numId w:val="0"/>
              </w:numPr>
              <w:jc w:val="center"/>
              <w:rPr>
                <w:sz w:val="16"/>
                <w:szCs w:val="16"/>
              </w:rPr>
            </w:pPr>
            <w:r>
              <w:rPr>
                <w:sz w:val="16"/>
                <w:szCs w:val="16"/>
              </w:rPr>
              <w:t>0,7</w:t>
            </w:r>
          </w:p>
        </w:tc>
        <w:tc>
          <w:tcPr>
            <w:tcW w:w="1134" w:type="dxa"/>
            <w:vAlign w:val="center"/>
          </w:tcPr>
          <w:p w:rsidR="00B71BB9" w:rsidRPr="00B71BB9" w:rsidRDefault="00B71BB9" w:rsidP="00B71BB9">
            <w:pPr>
              <w:jc w:val="center"/>
              <w:rPr>
                <w:sz w:val="16"/>
                <w:szCs w:val="16"/>
              </w:rPr>
            </w:pPr>
            <w:r w:rsidRPr="00B71BB9">
              <w:rPr>
                <w:sz w:val="16"/>
                <w:szCs w:val="16"/>
              </w:rPr>
              <w:t>0</w:t>
            </w:r>
            <w:r w:rsidR="00DF1DE9">
              <w:rPr>
                <w:sz w:val="16"/>
                <w:szCs w:val="16"/>
              </w:rPr>
              <w:t>,0</w:t>
            </w:r>
          </w:p>
        </w:tc>
        <w:tc>
          <w:tcPr>
            <w:tcW w:w="1134" w:type="dxa"/>
            <w:vAlign w:val="center"/>
          </w:tcPr>
          <w:p w:rsidR="00B71BB9" w:rsidRPr="00B71BB9" w:rsidRDefault="00B71BB9" w:rsidP="00DF1DE9">
            <w:pPr>
              <w:jc w:val="center"/>
              <w:rPr>
                <w:sz w:val="16"/>
                <w:szCs w:val="16"/>
              </w:rPr>
            </w:pPr>
            <w:r w:rsidRPr="00B71BB9">
              <w:rPr>
                <w:sz w:val="16"/>
                <w:szCs w:val="16"/>
              </w:rPr>
              <w:t>100</w:t>
            </w:r>
          </w:p>
        </w:tc>
        <w:tc>
          <w:tcPr>
            <w:tcW w:w="1098" w:type="dxa"/>
            <w:vAlign w:val="center"/>
          </w:tcPr>
          <w:p w:rsidR="00B71BB9" w:rsidRDefault="002A187F" w:rsidP="00DB5C6B">
            <w:pPr>
              <w:widowControl w:val="0"/>
              <w:numPr>
                <w:ilvl w:val="12"/>
                <w:numId w:val="0"/>
              </w:numPr>
              <w:jc w:val="center"/>
              <w:rPr>
                <w:sz w:val="16"/>
                <w:szCs w:val="16"/>
              </w:rPr>
            </w:pPr>
            <w:r>
              <w:rPr>
                <w:sz w:val="16"/>
                <w:szCs w:val="16"/>
              </w:rPr>
              <w:t>0,006</w:t>
            </w:r>
          </w:p>
        </w:tc>
      </w:tr>
      <w:tr w:rsidR="00B71BB9" w:rsidRPr="002A072A" w:rsidTr="00B71BB9">
        <w:tc>
          <w:tcPr>
            <w:tcW w:w="4219" w:type="dxa"/>
          </w:tcPr>
          <w:p w:rsidR="00B71BB9" w:rsidRPr="00883B52" w:rsidRDefault="00B71BB9"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151,6</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173,7</w:t>
            </w:r>
          </w:p>
        </w:tc>
        <w:tc>
          <w:tcPr>
            <w:tcW w:w="1134" w:type="dxa"/>
            <w:vAlign w:val="center"/>
          </w:tcPr>
          <w:p w:rsidR="00B71BB9" w:rsidRPr="00B71BB9" w:rsidRDefault="00B71BB9" w:rsidP="00B71BB9">
            <w:pPr>
              <w:jc w:val="center"/>
              <w:rPr>
                <w:b/>
                <w:sz w:val="16"/>
                <w:szCs w:val="16"/>
              </w:rPr>
            </w:pPr>
            <w:r w:rsidRPr="00B71BB9">
              <w:rPr>
                <w:b/>
                <w:sz w:val="16"/>
                <w:szCs w:val="16"/>
              </w:rPr>
              <w:t>22,1</w:t>
            </w:r>
          </w:p>
        </w:tc>
        <w:tc>
          <w:tcPr>
            <w:tcW w:w="1134" w:type="dxa"/>
            <w:vAlign w:val="center"/>
          </w:tcPr>
          <w:p w:rsidR="00B71BB9" w:rsidRPr="00B71BB9" w:rsidRDefault="00B71BB9" w:rsidP="00B71BB9">
            <w:pPr>
              <w:jc w:val="center"/>
              <w:rPr>
                <w:b/>
                <w:sz w:val="16"/>
                <w:szCs w:val="16"/>
              </w:rPr>
            </w:pPr>
            <w:r w:rsidRPr="00B71BB9">
              <w:rPr>
                <w:b/>
                <w:sz w:val="16"/>
                <w:szCs w:val="16"/>
              </w:rPr>
              <w:t>114,6</w:t>
            </w:r>
          </w:p>
        </w:tc>
        <w:tc>
          <w:tcPr>
            <w:tcW w:w="1098" w:type="dxa"/>
            <w:vAlign w:val="center"/>
          </w:tcPr>
          <w:p w:rsidR="00B71BB9" w:rsidRPr="0073485F" w:rsidRDefault="002A187F" w:rsidP="00DB5C6B">
            <w:pPr>
              <w:widowControl w:val="0"/>
              <w:numPr>
                <w:ilvl w:val="12"/>
                <w:numId w:val="0"/>
              </w:numPr>
              <w:jc w:val="center"/>
              <w:rPr>
                <w:b/>
                <w:sz w:val="16"/>
                <w:szCs w:val="16"/>
              </w:rPr>
            </w:pPr>
            <w:r>
              <w:rPr>
                <w:b/>
                <w:sz w:val="16"/>
                <w:szCs w:val="16"/>
              </w:rPr>
              <w:t>1,4</w:t>
            </w:r>
          </w:p>
        </w:tc>
      </w:tr>
      <w:tr w:rsidR="00B71BB9" w:rsidRPr="002A072A" w:rsidTr="00B71BB9">
        <w:tc>
          <w:tcPr>
            <w:tcW w:w="4219" w:type="dxa"/>
          </w:tcPr>
          <w:p w:rsidR="00B71BB9" w:rsidRPr="00832FBF" w:rsidRDefault="00B71BB9"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264,8</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53</w:t>
            </w:r>
          </w:p>
        </w:tc>
        <w:tc>
          <w:tcPr>
            <w:tcW w:w="1134" w:type="dxa"/>
            <w:vAlign w:val="center"/>
          </w:tcPr>
          <w:p w:rsidR="00B71BB9" w:rsidRPr="00B71BB9" w:rsidRDefault="00B71BB9" w:rsidP="00B71BB9">
            <w:pPr>
              <w:jc w:val="center"/>
              <w:rPr>
                <w:b/>
                <w:sz w:val="16"/>
                <w:szCs w:val="16"/>
              </w:rPr>
            </w:pPr>
            <w:r w:rsidRPr="00B71BB9">
              <w:rPr>
                <w:b/>
                <w:sz w:val="16"/>
                <w:szCs w:val="16"/>
              </w:rPr>
              <w:t>-211,8</w:t>
            </w:r>
          </w:p>
        </w:tc>
        <w:tc>
          <w:tcPr>
            <w:tcW w:w="1134" w:type="dxa"/>
            <w:vAlign w:val="center"/>
          </w:tcPr>
          <w:p w:rsidR="00B71BB9" w:rsidRPr="00B71BB9" w:rsidRDefault="00B71BB9" w:rsidP="00DF1DE9">
            <w:pPr>
              <w:jc w:val="center"/>
              <w:rPr>
                <w:b/>
                <w:sz w:val="16"/>
                <w:szCs w:val="16"/>
              </w:rPr>
            </w:pPr>
            <w:r w:rsidRPr="00B71BB9">
              <w:rPr>
                <w:b/>
                <w:sz w:val="16"/>
                <w:szCs w:val="16"/>
              </w:rPr>
              <w:t>20</w:t>
            </w:r>
          </w:p>
        </w:tc>
        <w:tc>
          <w:tcPr>
            <w:tcW w:w="1098" w:type="dxa"/>
            <w:vAlign w:val="center"/>
          </w:tcPr>
          <w:p w:rsidR="00B71BB9" w:rsidRPr="00DB5C6B" w:rsidRDefault="002A187F" w:rsidP="00DB5C6B">
            <w:pPr>
              <w:widowControl w:val="0"/>
              <w:numPr>
                <w:ilvl w:val="12"/>
                <w:numId w:val="0"/>
              </w:numPr>
              <w:jc w:val="center"/>
              <w:rPr>
                <w:b/>
                <w:sz w:val="16"/>
                <w:szCs w:val="16"/>
              </w:rPr>
            </w:pPr>
            <w:r>
              <w:rPr>
                <w:b/>
                <w:sz w:val="16"/>
                <w:szCs w:val="16"/>
              </w:rPr>
              <w:t>0,4</w:t>
            </w:r>
          </w:p>
        </w:tc>
      </w:tr>
      <w:tr w:rsidR="00B71BB9" w:rsidRPr="002A072A" w:rsidTr="00B71BB9">
        <w:tc>
          <w:tcPr>
            <w:tcW w:w="4219" w:type="dxa"/>
          </w:tcPr>
          <w:p w:rsidR="00B71BB9" w:rsidRPr="00DB5C6B" w:rsidRDefault="00B71BB9"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1248,3</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385</w:t>
            </w:r>
          </w:p>
        </w:tc>
        <w:tc>
          <w:tcPr>
            <w:tcW w:w="1134" w:type="dxa"/>
            <w:vAlign w:val="center"/>
          </w:tcPr>
          <w:p w:rsidR="00B71BB9" w:rsidRPr="00B71BB9" w:rsidRDefault="00B71BB9" w:rsidP="00B71BB9">
            <w:pPr>
              <w:jc w:val="center"/>
              <w:rPr>
                <w:b/>
                <w:sz w:val="16"/>
                <w:szCs w:val="16"/>
              </w:rPr>
            </w:pPr>
            <w:r w:rsidRPr="00B71BB9">
              <w:rPr>
                <w:b/>
                <w:sz w:val="16"/>
                <w:szCs w:val="16"/>
              </w:rPr>
              <w:t>-863,3</w:t>
            </w:r>
          </w:p>
        </w:tc>
        <w:tc>
          <w:tcPr>
            <w:tcW w:w="1134" w:type="dxa"/>
            <w:vAlign w:val="center"/>
          </w:tcPr>
          <w:p w:rsidR="00B71BB9" w:rsidRPr="00B71BB9" w:rsidRDefault="00B71BB9" w:rsidP="00B71BB9">
            <w:pPr>
              <w:jc w:val="center"/>
              <w:rPr>
                <w:b/>
                <w:sz w:val="16"/>
                <w:szCs w:val="16"/>
              </w:rPr>
            </w:pPr>
            <w:r w:rsidRPr="00B71BB9">
              <w:rPr>
                <w:b/>
                <w:sz w:val="16"/>
                <w:szCs w:val="16"/>
              </w:rPr>
              <w:t>30,8</w:t>
            </w:r>
          </w:p>
        </w:tc>
        <w:tc>
          <w:tcPr>
            <w:tcW w:w="1098" w:type="dxa"/>
            <w:vAlign w:val="center"/>
          </w:tcPr>
          <w:p w:rsidR="00B71BB9" w:rsidRPr="00DB5C6B" w:rsidRDefault="002A187F" w:rsidP="00DB5C6B">
            <w:pPr>
              <w:widowControl w:val="0"/>
              <w:numPr>
                <w:ilvl w:val="12"/>
                <w:numId w:val="0"/>
              </w:numPr>
              <w:jc w:val="center"/>
              <w:rPr>
                <w:b/>
                <w:sz w:val="16"/>
                <w:szCs w:val="16"/>
              </w:rPr>
            </w:pPr>
            <w:r>
              <w:rPr>
                <w:b/>
                <w:sz w:val="16"/>
                <w:szCs w:val="16"/>
              </w:rPr>
              <w:t>3</w:t>
            </w:r>
          </w:p>
        </w:tc>
      </w:tr>
      <w:tr w:rsidR="00B71BB9" w:rsidRPr="002A072A" w:rsidTr="00B71BB9">
        <w:tc>
          <w:tcPr>
            <w:tcW w:w="4219" w:type="dxa"/>
          </w:tcPr>
          <w:p w:rsidR="00B71BB9" w:rsidRPr="00DB5C6B" w:rsidRDefault="00B71BB9"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B71BB9" w:rsidRPr="00EA05EC" w:rsidRDefault="00B71BB9" w:rsidP="00DB5C6B">
            <w:pPr>
              <w:widowControl w:val="0"/>
              <w:numPr>
                <w:ilvl w:val="12"/>
                <w:numId w:val="0"/>
              </w:numPr>
              <w:jc w:val="center"/>
              <w:rPr>
                <w:sz w:val="16"/>
                <w:szCs w:val="16"/>
              </w:rPr>
            </w:pPr>
            <w:r>
              <w:rPr>
                <w:sz w:val="16"/>
                <w:szCs w:val="16"/>
              </w:rPr>
              <w:t>1123,3</w:t>
            </w:r>
          </w:p>
        </w:tc>
        <w:tc>
          <w:tcPr>
            <w:tcW w:w="1134" w:type="dxa"/>
            <w:vAlign w:val="center"/>
          </w:tcPr>
          <w:p w:rsidR="00B71BB9" w:rsidRPr="00EA05EC" w:rsidRDefault="00B71BB9" w:rsidP="00DB5C6B">
            <w:pPr>
              <w:widowControl w:val="0"/>
              <w:numPr>
                <w:ilvl w:val="12"/>
                <w:numId w:val="0"/>
              </w:numPr>
              <w:jc w:val="center"/>
              <w:rPr>
                <w:sz w:val="16"/>
                <w:szCs w:val="16"/>
              </w:rPr>
            </w:pPr>
            <w:r>
              <w:rPr>
                <w:sz w:val="16"/>
                <w:szCs w:val="16"/>
              </w:rPr>
              <w:t>385</w:t>
            </w:r>
          </w:p>
        </w:tc>
        <w:tc>
          <w:tcPr>
            <w:tcW w:w="1134" w:type="dxa"/>
            <w:vAlign w:val="center"/>
          </w:tcPr>
          <w:p w:rsidR="00B71BB9" w:rsidRPr="00B71BB9" w:rsidRDefault="00B71BB9" w:rsidP="00B71BB9">
            <w:pPr>
              <w:jc w:val="center"/>
              <w:rPr>
                <w:sz w:val="16"/>
                <w:szCs w:val="16"/>
              </w:rPr>
            </w:pPr>
            <w:r w:rsidRPr="00B71BB9">
              <w:rPr>
                <w:sz w:val="16"/>
                <w:szCs w:val="16"/>
              </w:rPr>
              <w:t>-738,3</w:t>
            </w:r>
          </w:p>
        </w:tc>
        <w:tc>
          <w:tcPr>
            <w:tcW w:w="1134" w:type="dxa"/>
            <w:vAlign w:val="center"/>
          </w:tcPr>
          <w:p w:rsidR="00B71BB9" w:rsidRPr="00B71BB9" w:rsidRDefault="00B71BB9" w:rsidP="00B71BB9">
            <w:pPr>
              <w:jc w:val="center"/>
              <w:rPr>
                <w:sz w:val="16"/>
                <w:szCs w:val="16"/>
              </w:rPr>
            </w:pPr>
            <w:r w:rsidRPr="00B71BB9">
              <w:rPr>
                <w:sz w:val="16"/>
                <w:szCs w:val="16"/>
              </w:rPr>
              <w:t>34,3</w:t>
            </w:r>
          </w:p>
        </w:tc>
        <w:tc>
          <w:tcPr>
            <w:tcW w:w="1098" w:type="dxa"/>
            <w:vAlign w:val="center"/>
          </w:tcPr>
          <w:p w:rsidR="00B71BB9" w:rsidRPr="00EA05EC" w:rsidRDefault="002A187F" w:rsidP="00DB5C6B">
            <w:pPr>
              <w:widowControl w:val="0"/>
              <w:numPr>
                <w:ilvl w:val="12"/>
                <w:numId w:val="0"/>
              </w:numPr>
              <w:jc w:val="center"/>
              <w:rPr>
                <w:sz w:val="16"/>
                <w:szCs w:val="16"/>
              </w:rPr>
            </w:pPr>
            <w:r>
              <w:rPr>
                <w:sz w:val="16"/>
                <w:szCs w:val="16"/>
              </w:rPr>
              <w:t>3</w:t>
            </w:r>
          </w:p>
        </w:tc>
      </w:tr>
      <w:tr w:rsidR="00B71BB9" w:rsidRPr="002A072A" w:rsidTr="00B71BB9">
        <w:tc>
          <w:tcPr>
            <w:tcW w:w="4219" w:type="dxa"/>
          </w:tcPr>
          <w:p w:rsidR="00B71BB9" w:rsidRPr="00883B52" w:rsidRDefault="00B71BB9"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B71BB9" w:rsidRPr="00EA05EC" w:rsidRDefault="00B71BB9" w:rsidP="00DB5C6B">
            <w:pPr>
              <w:widowControl w:val="0"/>
              <w:numPr>
                <w:ilvl w:val="12"/>
                <w:numId w:val="0"/>
              </w:numPr>
              <w:jc w:val="center"/>
              <w:rPr>
                <w:sz w:val="16"/>
                <w:szCs w:val="16"/>
              </w:rPr>
            </w:pPr>
            <w:r>
              <w:rPr>
                <w:sz w:val="16"/>
                <w:szCs w:val="16"/>
              </w:rPr>
              <w:t>125</w:t>
            </w:r>
          </w:p>
        </w:tc>
        <w:tc>
          <w:tcPr>
            <w:tcW w:w="1134" w:type="dxa"/>
            <w:vAlign w:val="center"/>
          </w:tcPr>
          <w:p w:rsidR="00B71BB9" w:rsidRPr="00EA05EC" w:rsidRDefault="00B71BB9" w:rsidP="00DB5C6B">
            <w:pPr>
              <w:widowControl w:val="0"/>
              <w:numPr>
                <w:ilvl w:val="12"/>
                <w:numId w:val="0"/>
              </w:numPr>
              <w:jc w:val="center"/>
              <w:rPr>
                <w:sz w:val="16"/>
                <w:szCs w:val="16"/>
              </w:rPr>
            </w:pPr>
            <w:r>
              <w:rPr>
                <w:sz w:val="16"/>
                <w:szCs w:val="16"/>
              </w:rPr>
              <w:t>0,0</w:t>
            </w:r>
          </w:p>
        </w:tc>
        <w:tc>
          <w:tcPr>
            <w:tcW w:w="1134" w:type="dxa"/>
            <w:vAlign w:val="center"/>
          </w:tcPr>
          <w:p w:rsidR="00B71BB9" w:rsidRPr="00B71BB9" w:rsidRDefault="00B71BB9" w:rsidP="00B71BB9">
            <w:pPr>
              <w:jc w:val="center"/>
              <w:rPr>
                <w:sz w:val="16"/>
                <w:szCs w:val="16"/>
              </w:rPr>
            </w:pPr>
            <w:r w:rsidRPr="00B71BB9">
              <w:rPr>
                <w:sz w:val="16"/>
                <w:szCs w:val="16"/>
              </w:rPr>
              <w:t>-125</w:t>
            </w:r>
          </w:p>
        </w:tc>
        <w:tc>
          <w:tcPr>
            <w:tcW w:w="1134" w:type="dxa"/>
            <w:vAlign w:val="center"/>
          </w:tcPr>
          <w:p w:rsidR="00B71BB9" w:rsidRPr="00B71BB9" w:rsidRDefault="00DF1DE9" w:rsidP="00B71BB9">
            <w:pPr>
              <w:jc w:val="center"/>
              <w:rPr>
                <w:sz w:val="16"/>
                <w:szCs w:val="16"/>
              </w:rPr>
            </w:pPr>
            <w:r>
              <w:rPr>
                <w:sz w:val="16"/>
                <w:szCs w:val="16"/>
              </w:rPr>
              <w:t>-</w:t>
            </w:r>
          </w:p>
        </w:tc>
        <w:tc>
          <w:tcPr>
            <w:tcW w:w="1098" w:type="dxa"/>
            <w:vAlign w:val="center"/>
          </w:tcPr>
          <w:p w:rsidR="00B71BB9" w:rsidRPr="00EA05EC" w:rsidRDefault="002A187F" w:rsidP="00DB5C6B">
            <w:pPr>
              <w:widowControl w:val="0"/>
              <w:numPr>
                <w:ilvl w:val="12"/>
                <w:numId w:val="0"/>
              </w:numPr>
              <w:jc w:val="center"/>
              <w:rPr>
                <w:sz w:val="16"/>
                <w:szCs w:val="16"/>
              </w:rPr>
            </w:pPr>
            <w:r>
              <w:rPr>
                <w:sz w:val="16"/>
                <w:szCs w:val="16"/>
              </w:rPr>
              <w:t>-</w:t>
            </w:r>
          </w:p>
        </w:tc>
      </w:tr>
      <w:tr w:rsidR="00B71BB9" w:rsidRPr="002A072A" w:rsidTr="00B71BB9">
        <w:tc>
          <w:tcPr>
            <w:tcW w:w="4219" w:type="dxa"/>
          </w:tcPr>
          <w:p w:rsidR="00B71BB9" w:rsidRPr="00DB5C6B" w:rsidRDefault="00B71BB9"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1725,6</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521</w:t>
            </w:r>
          </w:p>
        </w:tc>
        <w:tc>
          <w:tcPr>
            <w:tcW w:w="1134" w:type="dxa"/>
            <w:vAlign w:val="center"/>
          </w:tcPr>
          <w:p w:rsidR="00B71BB9" w:rsidRPr="00B71BB9" w:rsidRDefault="00B71BB9" w:rsidP="00B71BB9">
            <w:pPr>
              <w:jc w:val="center"/>
              <w:rPr>
                <w:b/>
                <w:sz w:val="16"/>
                <w:szCs w:val="16"/>
              </w:rPr>
            </w:pPr>
            <w:r w:rsidRPr="00B71BB9">
              <w:rPr>
                <w:b/>
                <w:sz w:val="16"/>
                <w:szCs w:val="16"/>
              </w:rPr>
              <w:t>-1204,6</w:t>
            </w:r>
          </w:p>
        </w:tc>
        <w:tc>
          <w:tcPr>
            <w:tcW w:w="1134" w:type="dxa"/>
            <w:vAlign w:val="center"/>
          </w:tcPr>
          <w:p w:rsidR="00B71BB9" w:rsidRPr="00B71BB9" w:rsidRDefault="00B71BB9" w:rsidP="00B71BB9">
            <w:pPr>
              <w:jc w:val="center"/>
              <w:rPr>
                <w:b/>
                <w:sz w:val="16"/>
                <w:szCs w:val="16"/>
              </w:rPr>
            </w:pPr>
            <w:r w:rsidRPr="00B71BB9">
              <w:rPr>
                <w:b/>
                <w:sz w:val="16"/>
                <w:szCs w:val="16"/>
              </w:rPr>
              <w:t>30,2</w:t>
            </w:r>
          </w:p>
        </w:tc>
        <w:tc>
          <w:tcPr>
            <w:tcW w:w="1098" w:type="dxa"/>
            <w:vAlign w:val="center"/>
          </w:tcPr>
          <w:p w:rsidR="00B71BB9" w:rsidRPr="00DB5C6B" w:rsidRDefault="002A187F" w:rsidP="00DB5C6B">
            <w:pPr>
              <w:widowControl w:val="0"/>
              <w:numPr>
                <w:ilvl w:val="12"/>
                <w:numId w:val="0"/>
              </w:numPr>
              <w:jc w:val="center"/>
              <w:rPr>
                <w:b/>
                <w:sz w:val="16"/>
                <w:szCs w:val="16"/>
              </w:rPr>
            </w:pPr>
            <w:r>
              <w:rPr>
                <w:b/>
                <w:sz w:val="16"/>
                <w:szCs w:val="16"/>
              </w:rPr>
              <w:t>4,1</w:t>
            </w:r>
          </w:p>
        </w:tc>
      </w:tr>
      <w:tr w:rsidR="00B71BB9" w:rsidRPr="002A072A" w:rsidTr="00B71BB9">
        <w:tc>
          <w:tcPr>
            <w:tcW w:w="4219" w:type="dxa"/>
          </w:tcPr>
          <w:p w:rsidR="00B71BB9" w:rsidRPr="00883B52" w:rsidRDefault="00B71BB9" w:rsidP="006D30B0">
            <w:pPr>
              <w:autoSpaceDE w:val="0"/>
              <w:autoSpaceDN w:val="0"/>
              <w:adjustRightInd w:val="0"/>
              <w:rPr>
                <w:sz w:val="16"/>
                <w:szCs w:val="16"/>
              </w:rPr>
            </w:pPr>
            <w:r>
              <w:rPr>
                <w:sz w:val="16"/>
                <w:szCs w:val="16"/>
              </w:rPr>
              <w:t>Жилищное хозяйство (0501)</w:t>
            </w:r>
          </w:p>
        </w:tc>
        <w:tc>
          <w:tcPr>
            <w:tcW w:w="1134" w:type="dxa"/>
            <w:vAlign w:val="center"/>
          </w:tcPr>
          <w:p w:rsidR="00B71BB9" w:rsidRPr="00187689" w:rsidRDefault="00B71BB9" w:rsidP="00DB5C6B">
            <w:pPr>
              <w:widowControl w:val="0"/>
              <w:numPr>
                <w:ilvl w:val="12"/>
                <w:numId w:val="0"/>
              </w:numPr>
              <w:jc w:val="center"/>
              <w:rPr>
                <w:sz w:val="16"/>
                <w:szCs w:val="16"/>
              </w:rPr>
            </w:pPr>
            <w:r>
              <w:rPr>
                <w:sz w:val="16"/>
                <w:szCs w:val="16"/>
              </w:rPr>
              <w:t>1197,6</w:t>
            </w:r>
          </w:p>
        </w:tc>
        <w:tc>
          <w:tcPr>
            <w:tcW w:w="1134" w:type="dxa"/>
            <w:vAlign w:val="center"/>
          </w:tcPr>
          <w:p w:rsidR="00B71BB9" w:rsidRPr="00187689" w:rsidRDefault="00B71BB9" w:rsidP="00DB5C6B">
            <w:pPr>
              <w:widowControl w:val="0"/>
              <w:numPr>
                <w:ilvl w:val="12"/>
                <w:numId w:val="0"/>
              </w:numPr>
              <w:jc w:val="center"/>
              <w:rPr>
                <w:sz w:val="16"/>
                <w:szCs w:val="16"/>
              </w:rPr>
            </w:pPr>
            <w:r>
              <w:rPr>
                <w:sz w:val="16"/>
                <w:szCs w:val="16"/>
              </w:rPr>
              <w:t>0,0</w:t>
            </w:r>
          </w:p>
        </w:tc>
        <w:tc>
          <w:tcPr>
            <w:tcW w:w="1134" w:type="dxa"/>
            <w:vAlign w:val="center"/>
          </w:tcPr>
          <w:p w:rsidR="00B71BB9" w:rsidRPr="00B71BB9" w:rsidRDefault="00B71BB9" w:rsidP="00B71BB9">
            <w:pPr>
              <w:jc w:val="center"/>
              <w:rPr>
                <w:sz w:val="16"/>
                <w:szCs w:val="16"/>
              </w:rPr>
            </w:pPr>
            <w:r w:rsidRPr="00B71BB9">
              <w:rPr>
                <w:sz w:val="16"/>
                <w:szCs w:val="16"/>
              </w:rPr>
              <w:t>-1197,6</w:t>
            </w:r>
          </w:p>
        </w:tc>
        <w:tc>
          <w:tcPr>
            <w:tcW w:w="1134" w:type="dxa"/>
            <w:vAlign w:val="center"/>
          </w:tcPr>
          <w:p w:rsidR="00B71BB9" w:rsidRPr="00B71BB9" w:rsidRDefault="00DF1DE9" w:rsidP="00B71BB9">
            <w:pPr>
              <w:jc w:val="center"/>
              <w:rPr>
                <w:sz w:val="16"/>
                <w:szCs w:val="16"/>
              </w:rPr>
            </w:pPr>
            <w:r>
              <w:rPr>
                <w:sz w:val="16"/>
                <w:szCs w:val="16"/>
              </w:rPr>
              <w:t>-</w:t>
            </w:r>
          </w:p>
        </w:tc>
        <w:tc>
          <w:tcPr>
            <w:tcW w:w="1098" w:type="dxa"/>
            <w:vAlign w:val="center"/>
          </w:tcPr>
          <w:p w:rsidR="00B71BB9" w:rsidRPr="00187689" w:rsidRDefault="002A187F" w:rsidP="00DB5C6B">
            <w:pPr>
              <w:widowControl w:val="0"/>
              <w:numPr>
                <w:ilvl w:val="12"/>
                <w:numId w:val="0"/>
              </w:numPr>
              <w:jc w:val="center"/>
              <w:rPr>
                <w:sz w:val="16"/>
                <w:szCs w:val="16"/>
              </w:rPr>
            </w:pPr>
            <w:r>
              <w:rPr>
                <w:sz w:val="16"/>
                <w:szCs w:val="16"/>
              </w:rPr>
              <w:t>-</w:t>
            </w:r>
          </w:p>
        </w:tc>
      </w:tr>
      <w:tr w:rsidR="00B71BB9" w:rsidRPr="002A072A" w:rsidTr="00B71BB9">
        <w:tc>
          <w:tcPr>
            <w:tcW w:w="4219" w:type="dxa"/>
          </w:tcPr>
          <w:p w:rsidR="00B71BB9" w:rsidRPr="00DB5C6B" w:rsidRDefault="00B71BB9" w:rsidP="006D30B0">
            <w:pPr>
              <w:autoSpaceDE w:val="0"/>
              <w:autoSpaceDN w:val="0"/>
              <w:adjustRightInd w:val="0"/>
              <w:rPr>
                <w:b/>
                <w:sz w:val="16"/>
                <w:szCs w:val="16"/>
              </w:rPr>
            </w:pPr>
            <w:r w:rsidRPr="00883B52">
              <w:rPr>
                <w:sz w:val="16"/>
                <w:szCs w:val="16"/>
              </w:rPr>
              <w:t>Благоустройство (0503)</w:t>
            </w:r>
          </w:p>
        </w:tc>
        <w:tc>
          <w:tcPr>
            <w:tcW w:w="1134" w:type="dxa"/>
            <w:vAlign w:val="center"/>
          </w:tcPr>
          <w:p w:rsidR="00B71BB9" w:rsidRPr="00187689" w:rsidRDefault="00B71BB9" w:rsidP="00DB5C6B">
            <w:pPr>
              <w:widowControl w:val="0"/>
              <w:numPr>
                <w:ilvl w:val="12"/>
                <w:numId w:val="0"/>
              </w:numPr>
              <w:jc w:val="center"/>
              <w:rPr>
                <w:sz w:val="16"/>
                <w:szCs w:val="16"/>
              </w:rPr>
            </w:pPr>
            <w:r>
              <w:rPr>
                <w:sz w:val="16"/>
                <w:szCs w:val="16"/>
              </w:rPr>
              <w:t>528</w:t>
            </w:r>
          </w:p>
        </w:tc>
        <w:tc>
          <w:tcPr>
            <w:tcW w:w="1134" w:type="dxa"/>
            <w:vAlign w:val="center"/>
          </w:tcPr>
          <w:p w:rsidR="00B71BB9" w:rsidRPr="00187689" w:rsidRDefault="00B71BB9" w:rsidP="00DB5C6B">
            <w:pPr>
              <w:widowControl w:val="0"/>
              <w:numPr>
                <w:ilvl w:val="12"/>
                <w:numId w:val="0"/>
              </w:numPr>
              <w:jc w:val="center"/>
              <w:rPr>
                <w:sz w:val="16"/>
                <w:szCs w:val="16"/>
              </w:rPr>
            </w:pPr>
            <w:r>
              <w:rPr>
                <w:sz w:val="16"/>
                <w:szCs w:val="16"/>
              </w:rPr>
              <w:t>521</w:t>
            </w:r>
          </w:p>
        </w:tc>
        <w:tc>
          <w:tcPr>
            <w:tcW w:w="1134" w:type="dxa"/>
            <w:vAlign w:val="center"/>
          </w:tcPr>
          <w:p w:rsidR="00B71BB9" w:rsidRPr="00B71BB9" w:rsidRDefault="00B71BB9" w:rsidP="00B71BB9">
            <w:pPr>
              <w:jc w:val="center"/>
              <w:rPr>
                <w:sz w:val="16"/>
                <w:szCs w:val="16"/>
              </w:rPr>
            </w:pPr>
            <w:r w:rsidRPr="00B71BB9">
              <w:rPr>
                <w:sz w:val="16"/>
                <w:szCs w:val="16"/>
              </w:rPr>
              <w:t>-7</w:t>
            </w:r>
          </w:p>
        </w:tc>
        <w:tc>
          <w:tcPr>
            <w:tcW w:w="1134" w:type="dxa"/>
            <w:vAlign w:val="center"/>
          </w:tcPr>
          <w:p w:rsidR="00B71BB9" w:rsidRPr="00B71BB9" w:rsidRDefault="00B71BB9" w:rsidP="00B71BB9">
            <w:pPr>
              <w:jc w:val="center"/>
              <w:rPr>
                <w:sz w:val="16"/>
                <w:szCs w:val="16"/>
              </w:rPr>
            </w:pPr>
            <w:r w:rsidRPr="00B71BB9">
              <w:rPr>
                <w:sz w:val="16"/>
                <w:szCs w:val="16"/>
              </w:rPr>
              <w:t>98,7</w:t>
            </w:r>
          </w:p>
        </w:tc>
        <w:tc>
          <w:tcPr>
            <w:tcW w:w="1098" w:type="dxa"/>
            <w:vAlign w:val="center"/>
          </w:tcPr>
          <w:p w:rsidR="00B71BB9" w:rsidRPr="00187689" w:rsidRDefault="002A187F" w:rsidP="00DB5C6B">
            <w:pPr>
              <w:widowControl w:val="0"/>
              <w:numPr>
                <w:ilvl w:val="12"/>
                <w:numId w:val="0"/>
              </w:numPr>
              <w:jc w:val="center"/>
              <w:rPr>
                <w:sz w:val="16"/>
                <w:szCs w:val="16"/>
              </w:rPr>
            </w:pPr>
            <w:r>
              <w:rPr>
                <w:sz w:val="16"/>
                <w:szCs w:val="16"/>
              </w:rPr>
              <w:t>4,1</w:t>
            </w:r>
          </w:p>
        </w:tc>
      </w:tr>
      <w:tr w:rsidR="00B71BB9" w:rsidRPr="002A072A" w:rsidTr="00B71BB9">
        <w:tc>
          <w:tcPr>
            <w:tcW w:w="4219" w:type="dxa"/>
          </w:tcPr>
          <w:p w:rsidR="00B71BB9" w:rsidRPr="00DB5C6B" w:rsidRDefault="00B71BB9"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B71BB9" w:rsidRDefault="00B71BB9" w:rsidP="00DB5C6B">
            <w:pPr>
              <w:widowControl w:val="0"/>
              <w:numPr>
                <w:ilvl w:val="12"/>
                <w:numId w:val="0"/>
              </w:numPr>
              <w:jc w:val="center"/>
              <w:rPr>
                <w:b/>
                <w:sz w:val="16"/>
                <w:szCs w:val="16"/>
              </w:rPr>
            </w:pPr>
            <w:r>
              <w:rPr>
                <w:b/>
                <w:sz w:val="16"/>
                <w:szCs w:val="16"/>
              </w:rPr>
              <w:t>16</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16</w:t>
            </w:r>
          </w:p>
        </w:tc>
        <w:tc>
          <w:tcPr>
            <w:tcW w:w="1134" w:type="dxa"/>
            <w:vAlign w:val="center"/>
          </w:tcPr>
          <w:p w:rsidR="00B71BB9" w:rsidRPr="00B71BB9" w:rsidRDefault="00B71BB9" w:rsidP="00B71BB9">
            <w:pPr>
              <w:jc w:val="center"/>
              <w:rPr>
                <w:b/>
                <w:sz w:val="16"/>
                <w:szCs w:val="16"/>
              </w:rPr>
            </w:pPr>
            <w:r w:rsidRPr="00B71BB9">
              <w:rPr>
                <w:b/>
                <w:sz w:val="16"/>
                <w:szCs w:val="16"/>
              </w:rPr>
              <w:t>0</w:t>
            </w:r>
            <w:r w:rsidR="00DF1DE9">
              <w:rPr>
                <w:b/>
                <w:sz w:val="16"/>
                <w:szCs w:val="16"/>
              </w:rPr>
              <w:t>,0</w:t>
            </w:r>
          </w:p>
        </w:tc>
        <w:tc>
          <w:tcPr>
            <w:tcW w:w="1134" w:type="dxa"/>
            <w:vAlign w:val="center"/>
          </w:tcPr>
          <w:p w:rsidR="00B71BB9" w:rsidRPr="00B71BB9" w:rsidRDefault="00B71BB9" w:rsidP="00DF1DE9">
            <w:pPr>
              <w:jc w:val="center"/>
              <w:rPr>
                <w:b/>
                <w:sz w:val="16"/>
                <w:szCs w:val="16"/>
              </w:rPr>
            </w:pPr>
            <w:r w:rsidRPr="00B71BB9">
              <w:rPr>
                <w:b/>
                <w:sz w:val="16"/>
                <w:szCs w:val="16"/>
              </w:rPr>
              <w:t>100</w:t>
            </w:r>
          </w:p>
        </w:tc>
        <w:tc>
          <w:tcPr>
            <w:tcW w:w="1098" w:type="dxa"/>
            <w:vAlign w:val="center"/>
          </w:tcPr>
          <w:p w:rsidR="00B71BB9" w:rsidRPr="00DB5C6B" w:rsidRDefault="002A187F" w:rsidP="00DB5C6B">
            <w:pPr>
              <w:widowControl w:val="0"/>
              <w:numPr>
                <w:ilvl w:val="12"/>
                <w:numId w:val="0"/>
              </w:numPr>
              <w:jc w:val="center"/>
              <w:rPr>
                <w:b/>
                <w:sz w:val="16"/>
                <w:szCs w:val="16"/>
              </w:rPr>
            </w:pPr>
            <w:r>
              <w:rPr>
                <w:b/>
                <w:sz w:val="16"/>
                <w:szCs w:val="16"/>
              </w:rPr>
              <w:t>0,1</w:t>
            </w:r>
          </w:p>
        </w:tc>
      </w:tr>
      <w:tr w:rsidR="00B71BB9" w:rsidRPr="002A072A" w:rsidTr="00B71BB9">
        <w:tc>
          <w:tcPr>
            <w:tcW w:w="4219" w:type="dxa"/>
          </w:tcPr>
          <w:p w:rsidR="00B71BB9" w:rsidRPr="00DB5C6B" w:rsidRDefault="00B71BB9"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6478,7</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3378,5</w:t>
            </w:r>
          </w:p>
        </w:tc>
        <w:tc>
          <w:tcPr>
            <w:tcW w:w="1134" w:type="dxa"/>
            <w:vAlign w:val="center"/>
          </w:tcPr>
          <w:p w:rsidR="00B71BB9" w:rsidRPr="00B71BB9" w:rsidRDefault="00B71BB9" w:rsidP="00B71BB9">
            <w:pPr>
              <w:jc w:val="center"/>
              <w:rPr>
                <w:b/>
                <w:sz w:val="16"/>
                <w:szCs w:val="16"/>
              </w:rPr>
            </w:pPr>
            <w:r w:rsidRPr="00B71BB9">
              <w:rPr>
                <w:b/>
                <w:sz w:val="16"/>
                <w:szCs w:val="16"/>
              </w:rPr>
              <w:t>-3100,2</w:t>
            </w:r>
          </w:p>
        </w:tc>
        <w:tc>
          <w:tcPr>
            <w:tcW w:w="1134" w:type="dxa"/>
            <w:vAlign w:val="center"/>
          </w:tcPr>
          <w:p w:rsidR="00B71BB9" w:rsidRPr="00B71BB9" w:rsidRDefault="00B71BB9" w:rsidP="00B71BB9">
            <w:pPr>
              <w:jc w:val="center"/>
              <w:rPr>
                <w:b/>
                <w:sz w:val="16"/>
                <w:szCs w:val="16"/>
              </w:rPr>
            </w:pPr>
            <w:r w:rsidRPr="00B71BB9">
              <w:rPr>
                <w:b/>
                <w:sz w:val="16"/>
                <w:szCs w:val="16"/>
              </w:rPr>
              <w:t>52,1</w:t>
            </w:r>
          </w:p>
        </w:tc>
        <w:tc>
          <w:tcPr>
            <w:tcW w:w="1098" w:type="dxa"/>
            <w:vAlign w:val="center"/>
          </w:tcPr>
          <w:p w:rsidR="00B71BB9" w:rsidRPr="008C792C" w:rsidRDefault="002A187F" w:rsidP="00BC5359">
            <w:pPr>
              <w:widowControl w:val="0"/>
              <w:numPr>
                <w:ilvl w:val="12"/>
                <w:numId w:val="0"/>
              </w:numPr>
              <w:jc w:val="center"/>
              <w:rPr>
                <w:b/>
                <w:sz w:val="16"/>
                <w:szCs w:val="16"/>
              </w:rPr>
            </w:pPr>
            <w:r>
              <w:rPr>
                <w:b/>
                <w:sz w:val="16"/>
                <w:szCs w:val="16"/>
              </w:rPr>
              <w:t>26,7</w:t>
            </w:r>
          </w:p>
        </w:tc>
      </w:tr>
      <w:tr w:rsidR="00B71BB9" w:rsidRPr="002A072A" w:rsidTr="00B71BB9">
        <w:tc>
          <w:tcPr>
            <w:tcW w:w="4219" w:type="dxa"/>
          </w:tcPr>
          <w:p w:rsidR="00B71BB9" w:rsidRDefault="00B71BB9" w:rsidP="006D30B0">
            <w:pPr>
              <w:autoSpaceDE w:val="0"/>
              <w:autoSpaceDN w:val="0"/>
              <w:adjustRightInd w:val="0"/>
              <w:rPr>
                <w:sz w:val="16"/>
                <w:szCs w:val="16"/>
              </w:rPr>
            </w:pPr>
            <w:r>
              <w:rPr>
                <w:b/>
                <w:sz w:val="16"/>
                <w:szCs w:val="16"/>
              </w:rPr>
              <w:t xml:space="preserve">Физическая культура и спорт </w:t>
            </w:r>
            <w:r w:rsidRPr="00B83946">
              <w:rPr>
                <w:sz w:val="16"/>
                <w:szCs w:val="16"/>
              </w:rPr>
              <w:t xml:space="preserve"> </w:t>
            </w:r>
          </w:p>
          <w:p w:rsidR="00B71BB9" w:rsidRDefault="00B71BB9" w:rsidP="00195276">
            <w:pPr>
              <w:autoSpaceDE w:val="0"/>
              <w:autoSpaceDN w:val="0"/>
              <w:adjustRightInd w:val="0"/>
              <w:rPr>
                <w:b/>
                <w:sz w:val="16"/>
                <w:szCs w:val="16"/>
              </w:rPr>
            </w:pPr>
            <w:r w:rsidRPr="00195276">
              <w:rPr>
                <w:sz w:val="16"/>
                <w:szCs w:val="16"/>
              </w:rPr>
              <w:t>Физическая культура</w:t>
            </w:r>
            <w:r>
              <w:rPr>
                <w:b/>
                <w:sz w:val="16"/>
                <w:szCs w:val="16"/>
              </w:rPr>
              <w:t xml:space="preserve"> </w:t>
            </w:r>
            <w:r w:rsidRPr="00B83946">
              <w:rPr>
                <w:sz w:val="16"/>
                <w:szCs w:val="16"/>
              </w:rPr>
              <w:t>(1</w:t>
            </w:r>
            <w:r>
              <w:rPr>
                <w:sz w:val="16"/>
                <w:szCs w:val="16"/>
              </w:rPr>
              <w:t>1</w:t>
            </w:r>
            <w:r w:rsidRPr="00B83946">
              <w:rPr>
                <w:sz w:val="16"/>
                <w:szCs w:val="16"/>
              </w:rPr>
              <w:t>01)</w:t>
            </w:r>
          </w:p>
        </w:tc>
        <w:tc>
          <w:tcPr>
            <w:tcW w:w="1134" w:type="dxa"/>
            <w:vAlign w:val="center"/>
          </w:tcPr>
          <w:p w:rsidR="00B71BB9" w:rsidRDefault="00B71BB9" w:rsidP="00DB5C6B">
            <w:pPr>
              <w:widowControl w:val="0"/>
              <w:numPr>
                <w:ilvl w:val="12"/>
                <w:numId w:val="0"/>
              </w:numPr>
              <w:jc w:val="center"/>
              <w:rPr>
                <w:b/>
                <w:sz w:val="16"/>
                <w:szCs w:val="16"/>
              </w:rPr>
            </w:pPr>
            <w:r>
              <w:rPr>
                <w:b/>
                <w:sz w:val="16"/>
                <w:szCs w:val="16"/>
              </w:rPr>
              <w:t>5,3</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5</w:t>
            </w:r>
          </w:p>
        </w:tc>
        <w:tc>
          <w:tcPr>
            <w:tcW w:w="1134" w:type="dxa"/>
            <w:vAlign w:val="center"/>
          </w:tcPr>
          <w:p w:rsidR="00B71BB9" w:rsidRPr="00B71BB9" w:rsidRDefault="00B71BB9" w:rsidP="00B71BB9">
            <w:pPr>
              <w:jc w:val="center"/>
              <w:rPr>
                <w:b/>
                <w:sz w:val="16"/>
                <w:szCs w:val="16"/>
              </w:rPr>
            </w:pPr>
            <w:r w:rsidRPr="00B71BB9">
              <w:rPr>
                <w:b/>
                <w:sz w:val="16"/>
                <w:szCs w:val="16"/>
              </w:rPr>
              <w:t>-0,3</w:t>
            </w:r>
          </w:p>
        </w:tc>
        <w:tc>
          <w:tcPr>
            <w:tcW w:w="1134" w:type="dxa"/>
            <w:vAlign w:val="center"/>
          </w:tcPr>
          <w:p w:rsidR="00B71BB9" w:rsidRPr="00B71BB9" w:rsidRDefault="00B71BB9" w:rsidP="00B71BB9">
            <w:pPr>
              <w:jc w:val="center"/>
              <w:rPr>
                <w:b/>
                <w:sz w:val="16"/>
                <w:szCs w:val="16"/>
              </w:rPr>
            </w:pPr>
            <w:r w:rsidRPr="00B71BB9">
              <w:rPr>
                <w:b/>
                <w:sz w:val="16"/>
                <w:szCs w:val="16"/>
              </w:rPr>
              <w:t>94,3</w:t>
            </w:r>
          </w:p>
        </w:tc>
        <w:tc>
          <w:tcPr>
            <w:tcW w:w="1098" w:type="dxa"/>
            <w:vAlign w:val="center"/>
          </w:tcPr>
          <w:p w:rsidR="00B71BB9" w:rsidRPr="008C792C" w:rsidRDefault="00F96405" w:rsidP="00BC5359">
            <w:pPr>
              <w:widowControl w:val="0"/>
              <w:numPr>
                <w:ilvl w:val="12"/>
                <w:numId w:val="0"/>
              </w:numPr>
              <w:jc w:val="center"/>
              <w:rPr>
                <w:b/>
                <w:sz w:val="16"/>
                <w:szCs w:val="16"/>
              </w:rPr>
            </w:pPr>
            <w:r>
              <w:rPr>
                <w:b/>
                <w:sz w:val="16"/>
                <w:szCs w:val="16"/>
              </w:rPr>
              <w:t>0,04</w:t>
            </w:r>
          </w:p>
        </w:tc>
      </w:tr>
      <w:tr w:rsidR="00B71BB9" w:rsidRPr="002A072A" w:rsidTr="00B71BB9">
        <w:tc>
          <w:tcPr>
            <w:tcW w:w="4219" w:type="dxa"/>
          </w:tcPr>
          <w:p w:rsidR="00B71BB9" w:rsidRPr="00BC5359" w:rsidRDefault="00B71BB9"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B71BB9" w:rsidRPr="00BC5359" w:rsidRDefault="00B71BB9" w:rsidP="006D30B0">
            <w:pPr>
              <w:widowControl w:val="0"/>
              <w:numPr>
                <w:ilvl w:val="12"/>
                <w:numId w:val="0"/>
              </w:numPr>
              <w:jc w:val="center"/>
              <w:rPr>
                <w:b/>
                <w:sz w:val="16"/>
                <w:szCs w:val="16"/>
              </w:rPr>
            </w:pPr>
            <w:r>
              <w:rPr>
                <w:b/>
                <w:sz w:val="16"/>
                <w:szCs w:val="16"/>
              </w:rPr>
              <w:t>0,1</w:t>
            </w:r>
          </w:p>
        </w:tc>
        <w:tc>
          <w:tcPr>
            <w:tcW w:w="1134" w:type="dxa"/>
            <w:vAlign w:val="center"/>
          </w:tcPr>
          <w:p w:rsidR="00B71BB9" w:rsidRPr="00BC5359" w:rsidRDefault="00B71BB9" w:rsidP="00DB5C6B">
            <w:pPr>
              <w:widowControl w:val="0"/>
              <w:numPr>
                <w:ilvl w:val="12"/>
                <w:numId w:val="0"/>
              </w:numPr>
              <w:jc w:val="center"/>
              <w:rPr>
                <w:b/>
                <w:sz w:val="16"/>
                <w:szCs w:val="16"/>
              </w:rPr>
            </w:pPr>
            <w:r>
              <w:rPr>
                <w:b/>
                <w:sz w:val="16"/>
                <w:szCs w:val="16"/>
              </w:rPr>
              <w:t>0,1</w:t>
            </w:r>
          </w:p>
        </w:tc>
        <w:tc>
          <w:tcPr>
            <w:tcW w:w="1134" w:type="dxa"/>
            <w:vAlign w:val="center"/>
          </w:tcPr>
          <w:p w:rsidR="00B71BB9" w:rsidRPr="00B71BB9" w:rsidRDefault="00B71BB9" w:rsidP="00B71BB9">
            <w:pPr>
              <w:jc w:val="center"/>
              <w:rPr>
                <w:b/>
                <w:sz w:val="16"/>
                <w:szCs w:val="16"/>
              </w:rPr>
            </w:pPr>
            <w:r w:rsidRPr="00B71BB9">
              <w:rPr>
                <w:b/>
                <w:sz w:val="16"/>
                <w:szCs w:val="16"/>
              </w:rPr>
              <w:t>0</w:t>
            </w:r>
            <w:r w:rsidR="00DF1DE9">
              <w:rPr>
                <w:b/>
                <w:sz w:val="16"/>
                <w:szCs w:val="16"/>
              </w:rPr>
              <w:t>,0</w:t>
            </w:r>
          </w:p>
        </w:tc>
        <w:tc>
          <w:tcPr>
            <w:tcW w:w="1134" w:type="dxa"/>
            <w:vAlign w:val="center"/>
          </w:tcPr>
          <w:p w:rsidR="00B71BB9" w:rsidRPr="00B71BB9" w:rsidRDefault="00B71BB9" w:rsidP="00DF1DE9">
            <w:pPr>
              <w:jc w:val="center"/>
              <w:rPr>
                <w:b/>
                <w:sz w:val="16"/>
                <w:szCs w:val="16"/>
              </w:rPr>
            </w:pPr>
            <w:r w:rsidRPr="00B71BB9">
              <w:rPr>
                <w:b/>
                <w:sz w:val="16"/>
                <w:szCs w:val="16"/>
              </w:rPr>
              <w:t>100</w:t>
            </w:r>
          </w:p>
        </w:tc>
        <w:tc>
          <w:tcPr>
            <w:tcW w:w="1098" w:type="dxa"/>
            <w:vAlign w:val="center"/>
          </w:tcPr>
          <w:p w:rsidR="00B71BB9" w:rsidRPr="00BC5359" w:rsidRDefault="00F96405" w:rsidP="00DB5C6B">
            <w:pPr>
              <w:widowControl w:val="0"/>
              <w:numPr>
                <w:ilvl w:val="12"/>
                <w:numId w:val="0"/>
              </w:numPr>
              <w:jc w:val="center"/>
              <w:rPr>
                <w:b/>
                <w:sz w:val="16"/>
                <w:szCs w:val="16"/>
              </w:rPr>
            </w:pPr>
            <w:r>
              <w:rPr>
                <w:b/>
                <w:sz w:val="16"/>
                <w:szCs w:val="16"/>
              </w:rPr>
              <w:t>-</w:t>
            </w:r>
          </w:p>
        </w:tc>
      </w:tr>
      <w:tr w:rsidR="00B71BB9" w:rsidRPr="002A072A" w:rsidTr="00B71BB9">
        <w:tc>
          <w:tcPr>
            <w:tcW w:w="4219" w:type="dxa"/>
          </w:tcPr>
          <w:p w:rsidR="00B71BB9" w:rsidRPr="00DB5C6B" w:rsidRDefault="00B71BB9"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900,8</w:t>
            </w:r>
          </w:p>
        </w:tc>
        <w:tc>
          <w:tcPr>
            <w:tcW w:w="1134" w:type="dxa"/>
            <w:vAlign w:val="center"/>
          </w:tcPr>
          <w:p w:rsidR="00B71BB9" w:rsidRPr="00601AE1" w:rsidRDefault="00B71BB9" w:rsidP="00DB5C6B">
            <w:pPr>
              <w:widowControl w:val="0"/>
              <w:numPr>
                <w:ilvl w:val="12"/>
                <w:numId w:val="0"/>
              </w:numPr>
              <w:jc w:val="center"/>
              <w:rPr>
                <w:b/>
                <w:sz w:val="16"/>
                <w:szCs w:val="16"/>
              </w:rPr>
            </w:pPr>
            <w:r>
              <w:rPr>
                <w:b/>
                <w:sz w:val="16"/>
                <w:szCs w:val="16"/>
              </w:rPr>
              <w:t>996,9</w:t>
            </w:r>
          </w:p>
        </w:tc>
        <w:tc>
          <w:tcPr>
            <w:tcW w:w="1134" w:type="dxa"/>
            <w:vAlign w:val="center"/>
          </w:tcPr>
          <w:p w:rsidR="00B71BB9" w:rsidRPr="00B71BB9" w:rsidRDefault="00B71BB9" w:rsidP="00B71BB9">
            <w:pPr>
              <w:jc w:val="center"/>
              <w:rPr>
                <w:b/>
                <w:sz w:val="16"/>
                <w:szCs w:val="16"/>
              </w:rPr>
            </w:pPr>
            <w:r w:rsidRPr="00B71BB9">
              <w:rPr>
                <w:b/>
                <w:sz w:val="16"/>
                <w:szCs w:val="16"/>
              </w:rPr>
              <w:t>96,1</w:t>
            </w:r>
          </w:p>
        </w:tc>
        <w:tc>
          <w:tcPr>
            <w:tcW w:w="1134" w:type="dxa"/>
            <w:vAlign w:val="center"/>
          </w:tcPr>
          <w:p w:rsidR="00B71BB9" w:rsidRPr="00B71BB9" w:rsidRDefault="00B71BB9" w:rsidP="00B71BB9">
            <w:pPr>
              <w:jc w:val="center"/>
              <w:rPr>
                <w:b/>
                <w:sz w:val="16"/>
                <w:szCs w:val="16"/>
              </w:rPr>
            </w:pPr>
            <w:r w:rsidRPr="00B71BB9">
              <w:rPr>
                <w:b/>
                <w:sz w:val="16"/>
                <w:szCs w:val="16"/>
              </w:rPr>
              <w:t>110,7</w:t>
            </w:r>
          </w:p>
        </w:tc>
        <w:tc>
          <w:tcPr>
            <w:tcW w:w="1098" w:type="dxa"/>
            <w:vAlign w:val="center"/>
          </w:tcPr>
          <w:p w:rsidR="00B71BB9" w:rsidRPr="00DB5C6B" w:rsidRDefault="00F96405" w:rsidP="00DB5C6B">
            <w:pPr>
              <w:widowControl w:val="0"/>
              <w:numPr>
                <w:ilvl w:val="12"/>
                <w:numId w:val="0"/>
              </w:numPr>
              <w:jc w:val="center"/>
              <w:rPr>
                <w:b/>
                <w:sz w:val="16"/>
                <w:szCs w:val="16"/>
              </w:rPr>
            </w:pPr>
            <w:r>
              <w:rPr>
                <w:b/>
                <w:sz w:val="16"/>
                <w:szCs w:val="16"/>
              </w:rPr>
              <w:t>7,9</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AC4047">
        <w:t>7105,7</w:t>
      </w:r>
      <w:r w:rsidR="00A22562">
        <w:t xml:space="preserve"> тыс. рублей (или </w:t>
      </w:r>
      <w:r w:rsidR="00AC4047">
        <w:t>56,2</w:t>
      </w:r>
      <w:r w:rsidRPr="006B68FA">
        <w:t>%</w:t>
      </w:r>
      <w:r w:rsidR="00A22562">
        <w:t>)</w:t>
      </w:r>
      <w:r w:rsidRPr="006B68FA">
        <w:t xml:space="preserve">, </w:t>
      </w:r>
      <w:r w:rsidR="00AC4047" w:rsidRPr="006B68FA">
        <w:t xml:space="preserve">расходы </w:t>
      </w:r>
      <w:r w:rsidR="00AC4047">
        <w:t xml:space="preserve">по разделу </w:t>
      </w:r>
      <w:r>
        <w:t>«Культура, кинематография</w:t>
      </w:r>
      <w:r w:rsidRPr="004F6FB5">
        <w:t>»</w:t>
      </w:r>
      <w:r w:rsidR="00663C5C">
        <w:t xml:space="preserve"> </w:t>
      </w:r>
      <w:r w:rsidR="00A22562">
        <w:t>–</w:t>
      </w:r>
      <w:r>
        <w:t xml:space="preserve"> </w:t>
      </w:r>
      <w:r w:rsidR="00AC4047">
        <w:t>3378,5</w:t>
      </w:r>
      <w:r w:rsidR="00A22562">
        <w:t xml:space="preserve"> тыс. рублей (или </w:t>
      </w:r>
      <w:r w:rsidR="00AC4047">
        <w:t>26,7</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AC4047">
        <w:rPr>
          <w:rFonts w:ascii="Times New Roman" w:hAnsi="Times New Roman"/>
        </w:rPr>
        <w:t>двум</w:t>
      </w:r>
      <w:r w:rsidRPr="00283264">
        <w:rPr>
          <w:rFonts w:ascii="Times New Roman" w:hAnsi="Times New Roman"/>
        </w:rPr>
        <w:t xml:space="preserve"> из </w:t>
      </w:r>
      <w:r w:rsidR="009B1FCD">
        <w:rPr>
          <w:rFonts w:ascii="Times New Roman" w:hAnsi="Times New Roman"/>
        </w:rPr>
        <w:t>де</w:t>
      </w:r>
      <w:r w:rsidR="00AC4047">
        <w:rPr>
          <w:rFonts w:ascii="Times New Roman" w:hAnsi="Times New Roman"/>
        </w:rPr>
        <w:t>с</w:t>
      </w:r>
      <w:r w:rsidR="009B1FCD">
        <w:rPr>
          <w:rFonts w:ascii="Times New Roman" w:hAnsi="Times New Roman"/>
        </w:rPr>
        <w:t>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84197B">
        <w:rPr>
          <w:rFonts w:ascii="Times New Roman" w:hAnsi="Times New Roman"/>
          <w:snapToGrid w:val="0"/>
        </w:rPr>
        <w:t>%),</w:t>
      </w:r>
      <w:r w:rsidR="00F941EB">
        <w:rPr>
          <w:rFonts w:ascii="Times New Roman" w:hAnsi="Times New Roman"/>
          <w:snapToGrid w:val="0"/>
        </w:rPr>
        <w:t xml:space="preserve">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704AB7">
        <w:t xml:space="preserve">7105,7 </w:t>
      </w:r>
      <w:r w:rsidRPr="00595634">
        <w:t xml:space="preserve">тыс.руб., </w:t>
      </w:r>
      <w:r w:rsidR="00DC2F83">
        <w:t>с</w:t>
      </w:r>
      <w:r w:rsidR="00704AB7">
        <w:t>о</w:t>
      </w:r>
      <w:r w:rsidR="00DC2F83">
        <w:t xml:space="preserve"> </w:t>
      </w:r>
      <w:r w:rsidR="00704AB7">
        <w:t>снижением</w:t>
      </w:r>
      <w:r w:rsidRPr="00595634">
        <w:t xml:space="preserve"> на </w:t>
      </w:r>
      <w:r w:rsidR="00704AB7">
        <w:t>98,8</w:t>
      </w:r>
      <w:r w:rsidRPr="00595634">
        <w:t xml:space="preserve"> тыс.руб. </w:t>
      </w:r>
      <w:r w:rsidR="00704AB7">
        <w:t>(-1,4</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704AB7">
        <w:t>56,2</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704AB7">
        <w:t>7126,7</w:t>
      </w:r>
      <w:r w:rsidR="007638EF">
        <w:t xml:space="preserve"> тыс. руб., </w:t>
      </w:r>
      <w:r w:rsidR="00704AB7">
        <w:t>ежегодно</w:t>
      </w:r>
      <w:r w:rsidR="007638EF">
        <w:t>.</w:t>
      </w:r>
    </w:p>
    <w:p w:rsidR="00745D94" w:rsidRPr="00895EC4" w:rsidRDefault="00745D94" w:rsidP="00745D94">
      <w:pPr>
        <w:widowControl w:val="0"/>
        <w:numPr>
          <w:ilvl w:val="12"/>
          <w:numId w:val="0"/>
        </w:numPr>
        <w:ind w:firstLine="567"/>
        <w:jc w:val="both"/>
      </w:pPr>
      <w:r w:rsidRPr="00895EC4">
        <w:t xml:space="preserve">В рамках полномочий </w:t>
      </w:r>
      <w:r w:rsidR="007C2B53">
        <w:t>Чиканского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7C2B53">
        <w:t>Чиканского</w:t>
      </w:r>
      <w:r w:rsidR="0000549E">
        <w:t xml:space="preserve"> сельского поселения</w:t>
      </w:r>
      <w:r w:rsidRPr="00895EC4">
        <w:t xml:space="preserve"> в сумме </w:t>
      </w:r>
      <w:r w:rsidR="00704AB7">
        <w:t>1230</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704AB7">
        <w:t>193,1</w:t>
      </w:r>
      <w:r w:rsidR="0071451C">
        <w:t xml:space="preserve"> </w:t>
      </w:r>
      <w:r w:rsidRPr="00895EC4">
        <w:t>тыс.руб. (</w:t>
      </w:r>
      <w:r w:rsidR="007638EF">
        <w:t>+</w:t>
      </w:r>
      <w:r w:rsidR="00704AB7">
        <w:t>18,6</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704AB7">
        <w:t>9,7</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704AB7">
        <w:t>17,3</w:t>
      </w:r>
      <w:r w:rsidR="00B40168">
        <w:t>% в общем объеме «общегосударственных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704AB7">
        <w:t>1230</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7C2B53">
        <w:t>Чиканского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04AB7">
        <w:t>2</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704AB7">
        <w:t>2</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704AB7">
        <w:t>3</w:t>
      </w:r>
      <w:r w:rsidR="00B40168">
        <w:t>% в общем объеме «общегосударственных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 xml:space="preserve">Расходы на 2024-2025 годы установлены в сумме </w:t>
      </w:r>
      <w:r w:rsidR="00704AB7">
        <w:t>2</w:t>
      </w:r>
      <w:r w:rsidR="00E37C8A">
        <w:t xml:space="preserve">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7C2B53">
        <w:t>Чиканского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770AB2">
        <w:t>5858</w:t>
      </w:r>
      <w:r w:rsidR="005C516D">
        <w:t xml:space="preserve"> </w:t>
      </w:r>
      <w:r w:rsidRPr="00895EC4">
        <w:t xml:space="preserve">тыс. руб., </w:t>
      </w:r>
      <w:r w:rsidR="005C3023">
        <w:t>с</w:t>
      </w:r>
      <w:r w:rsidR="00770AB2">
        <w:t>о</w:t>
      </w:r>
      <w:r w:rsidRPr="00895EC4">
        <w:t xml:space="preserve"> </w:t>
      </w:r>
      <w:r w:rsidR="00770AB2">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770AB2">
        <w:t>121,9</w:t>
      </w:r>
      <w:r w:rsidR="00DE0B51">
        <w:t xml:space="preserve"> </w:t>
      </w:r>
      <w:r w:rsidRPr="00895EC4">
        <w:t>тыс.руб. (</w:t>
      </w:r>
      <w:r w:rsidR="00770AB2">
        <w:t>-2</w:t>
      </w:r>
      <w:r w:rsidRPr="00895EC4">
        <w:t xml:space="preserve">%). </w:t>
      </w:r>
      <w:r w:rsidR="00B40168" w:rsidRPr="00595634">
        <w:t xml:space="preserve">Данные расходы составляют </w:t>
      </w:r>
      <w:r w:rsidR="00770AB2">
        <w:t>46,4</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770AB2">
        <w:t>82,4</w:t>
      </w:r>
      <w:r w:rsidR="00B40168">
        <w:t>% в общем объеме «общегосударственных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770AB2">
        <w:t>5879</w:t>
      </w:r>
      <w:r w:rsidR="00834B2C">
        <w:t xml:space="preserve"> тыс. руб., </w:t>
      </w:r>
      <w:r w:rsidR="00770AB2">
        <w:t>ежегодно</w:t>
      </w:r>
      <w:r w:rsidR="00834B2C">
        <w:t>.</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7C2B53">
        <w:rPr>
          <w:bCs/>
        </w:rPr>
        <w:t>Чиканского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770AB2">
        <w:t>15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770AB2">
        <w:t>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770AB2">
        <w:t>15</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770AB2">
        <w:t>06</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w:t>
      </w:r>
      <w:r w:rsidR="00401A67">
        <w:t>4</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rsidR="00CE535E">
        <w:t xml:space="preserve">в целях обеспечения первичных мер пожарной безопасности </w:t>
      </w:r>
      <w:r>
        <w:t>на</w:t>
      </w:r>
      <w:r w:rsidRPr="00895EC4">
        <w:t xml:space="preserve"> 20</w:t>
      </w:r>
      <w:r>
        <w:t>2</w:t>
      </w:r>
      <w:r w:rsidR="0012608D">
        <w:t>3</w:t>
      </w:r>
      <w:r w:rsidRPr="00895EC4">
        <w:t xml:space="preserve"> г. </w:t>
      </w:r>
      <w:r>
        <w:t xml:space="preserve">установлены в сумме </w:t>
      </w:r>
      <w:r w:rsidR="00401A67">
        <w:t>53</w:t>
      </w:r>
      <w:r>
        <w:t xml:space="preserve"> тыс. руб., со снижением</w:t>
      </w:r>
      <w:r w:rsidRPr="00895EC4">
        <w:t xml:space="preserve"> на </w:t>
      </w:r>
      <w:r w:rsidR="00401A67">
        <w:t>211,8</w:t>
      </w:r>
      <w:r w:rsidRPr="00895EC4">
        <w:t xml:space="preserve"> тыс.руб. (</w:t>
      </w:r>
      <w:r>
        <w:t>-</w:t>
      </w:r>
      <w:r w:rsidR="00401A67">
        <w:t>80</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401A67">
        <w:t>0,4</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 xml:space="preserve">Расходы на 2024-2025 годы установлены в сумме </w:t>
      </w:r>
      <w:r w:rsidR="00401A67">
        <w:t>41</w:t>
      </w:r>
      <w:r w:rsidR="0012608D">
        <w:t xml:space="preserve"> тыс. руб., </w:t>
      </w:r>
      <w:r w:rsidR="00401A67">
        <w:t>ежегодно</w:t>
      </w:r>
      <w:r w:rsidR="0012608D">
        <w:t>.</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DE2093">
        <w:t xml:space="preserve">по </w:t>
      </w:r>
      <w:r w:rsidR="00DE2093" w:rsidRPr="006A1059">
        <w:t>подразделу 0409 «Дорожное хозяйство (дорожные фонды)»</w:t>
      </w:r>
      <w:r w:rsidR="00DE2093" w:rsidRPr="002E1E04">
        <w:t xml:space="preserve"> </w:t>
      </w:r>
      <w:r w:rsidR="00DE2093">
        <w:t>за счет средств муниципального дорожного фонда направляются на ремонт и содержание автомобильных дорог общего пользования местного значения,</w:t>
      </w:r>
      <w:r w:rsidR="00DE2093" w:rsidRPr="00DE2093">
        <w:t xml:space="preserve"> </w:t>
      </w:r>
      <w:r w:rsidR="00DE2093" w:rsidRPr="00595634">
        <w:t xml:space="preserve">установлены </w:t>
      </w:r>
      <w:r w:rsidR="002E1E04" w:rsidRPr="002E1E04">
        <w:t xml:space="preserve">на </w:t>
      </w:r>
      <w:r w:rsidR="002E1E04" w:rsidRPr="00595634">
        <w:t>20</w:t>
      </w:r>
      <w:r w:rsidR="002E1E04">
        <w:t>2</w:t>
      </w:r>
      <w:r w:rsidR="00104942">
        <w:t>3</w:t>
      </w:r>
      <w:r w:rsidR="002E1E04" w:rsidRPr="00595634">
        <w:t xml:space="preserve">г. в объеме </w:t>
      </w:r>
      <w:r w:rsidR="00DE2093">
        <w:t>385</w:t>
      </w:r>
      <w:r w:rsidR="002E1E04" w:rsidRPr="00595634">
        <w:t xml:space="preserve"> тыс.руб., </w:t>
      </w:r>
      <w:r w:rsidR="00882706">
        <w:t>со снижением</w:t>
      </w:r>
      <w:r w:rsidR="002E1E04" w:rsidRPr="00595634">
        <w:t xml:space="preserve"> на </w:t>
      </w:r>
      <w:r w:rsidR="00DE2093">
        <w:t>863,3</w:t>
      </w:r>
      <w:r w:rsidR="002E1E04" w:rsidRPr="00595634">
        <w:t xml:space="preserve"> тыс.руб. </w:t>
      </w:r>
      <w:r w:rsidR="002E1E04">
        <w:t>(</w:t>
      </w:r>
      <w:r w:rsidR="009C1066">
        <w:t>-</w:t>
      </w:r>
      <w:r w:rsidR="00DE2093">
        <w:t>69,2</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 xml:space="preserve">г. Данные расходы составляют </w:t>
      </w:r>
      <w:r w:rsidR="00DE2093">
        <w:t>3</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DE2093">
        <w:t>428,2</w:t>
      </w:r>
      <w:r w:rsidR="00104942">
        <w:t xml:space="preserve"> тыс. руб. и </w:t>
      </w:r>
      <w:r w:rsidR="00DE2093">
        <w:t>452,1</w:t>
      </w:r>
      <w:r w:rsidR="00104942">
        <w:t xml:space="preserve"> тыс. руб., соответственно.</w:t>
      </w:r>
    </w:p>
    <w:p w:rsidR="00CE4B14" w:rsidRPr="004566BF" w:rsidRDefault="00CE4B14" w:rsidP="00CE4B14">
      <w:pPr>
        <w:autoSpaceDE w:val="0"/>
        <w:autoSpaceDN w:val="0"/>
        <w:adjustRightInd w:val="0"/>
        <w:ind w:firstLine="567"/>
        <w:jc w:val="both"/>
        <w:rPr>
          <w:i/>
        </w:rPr>
      </w:pPr>
      <w:r>
        <w:t>В том числе в рамках реализации муниципальной программы комплексного развития транспортной инфраструктуры Чиканского сельского поселения на 2018-2031 годы на 2023 год установлены расходы в сумме 100 тыс. руб., на 2024-2025 годы в сумме 150 тыс. руб., ежегодно.</w:t>
      </w:r>
    </w:p>
    <w:p w:rsidR="00745D94" w:rsidRDefault="00425074" w:rsidP="006A1059">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2207FD">
        <w:t>521</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2207FD">
        <w:t>1204,6</w:t>
      </w:r>
      <w:r w:rsidR="00745D94" w:rsidRPr="000D1B29">
        <w:t xml:space="preserve"> тыс. руб. (</w:t>
      </w:r>
      <w:r w:rsidR="00846E96">
        <w:t>-</w:t>
      </w:r>
      <w:r w:rsidR="002207FD">
        <w:t>69,8</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w:t>
      </w:r>
      <w:r w:rsidR="002207FD">
        <w:t xml:space="preserve"> (за счет </w:t>
      </w:r>
      <w:r w:rsidR="00EF1A88">
        <w:t>уменьшения</w:t>
      </w:r>
      <w:r w:rsidR="002207FD">
        <w:t xml:space="preserve"> расходов по подразделу 0501 «Жилищное хозяйство» на 1197,6</w:t>
      </w:r>
      <w:r w:rsidR="00EF1A88">
        <w:t xml:space="preserve"> тыс. руб.)</w:t>
      </w:r>
      <w:r w:rsidR="00745D94" w:rsidRPr="000D1B29">
        <w:t xml:space="preserve">. </w:t>
      </w:r>
      <w:r w:rsidR="00CE4B14" w:rsidRPr="000D1B29">
        <w:t xml:space="preserve">Данные расходы составляют </w:t>
      </w:r>
      <w:r w:rsidR="00CE4B14">
        <w:t>4,1</w:t>
      </w:r>
      <w:r w:rsidR="00CE4B14" w:rsidRPr="000D1B29">
        <w:t>% от общей суммы</w:t>
      </w:r>
      <w:r w:rsidR="00CE4B14" w:rsidRPr="00895EC4">
        <w:t xml:space="preserve"> расходов </w:t>
      </w:r>
      <w:r w:rsidR="00CE4B14">
        <w:t xml:space="preserve">местного </w:t>
      </w:r>
      <w:r w:rsidR="00CE4B14" w:rsidRPr="00895EC4">
        <w:t>бюджета на 20</w:t>
      </w:r>
      <w:r w:rsidR="00CE4B14">
        <w:t>23</w:t>
      </w:r>
      <w:r w:rsidR="00CE4B14" w:rsidRPr="00895EC4">
        <w:t xml:space="preserve"> г</w:t>
      </w:r>
      <w:r w:rsidR="00CE4B14">
        <w:t>од</w:t>
      </w:r>
      <w:r w:rsidR="00CE4B14" w:rsidRPr="00895EC4">
        <w:t>.</w:t>
      </w:r>
      <w:r w:rsidR="00CE4B14">
        <w:t xml:space="preserve"> </w:t>
      </w:r>
      <w:r w:rsidR="005852E9">
        <w:t xml:space="preserve">Расходы на 2024-2025 годы установлены в сумме </w:t>
      </w:r>
      <w:r w:rsidR="00CE4B14">
        <w:t>521</w:t>
      </w:r>
      <w:r w:rsidR="005852E9">
        <w:t xml:space="preserve"> тыс. руб. и </w:t>
      </w:r>
      <w:r w:rsidR="00CE4B14">
        <w:t>471</w:t>
      </w:r>
      <w:r w:rsidR="005852E9">
        <w:t xml:space="preserve"> тыс. руб., соответственно. </w:t>
      </w:r>
    </w:p>
    <w:p w:rsidR="00CE4B14" w:rsidRDefault="00CE4B14" w:rsidP="00CE4B14">
      <w:pPr>
        <w:pStyle w:val="a9"/>
        <w:spacing w:after="0"/>
        <w:ind w:left="0" w:firstLine="567"/>
        <w:jc w:val="both"/>
      </w:pPr>
      <w:r w:rsidRPr="00717D82">
        <w:t xml:space="preserve">Расходы </w:t>
      </w:r>
      <w:r w:rsidR="00EA034D">
        <w:t xml:space="preserve">в 2023 году </w:t>
      </w:r>
      <w:r>
        <w:t>предусмотрены:</w:t>
      </w:r>
    </w:p>
    <w:p w:rsidR="00CE4B14" w:rsidRDefault="00CE4B14" w:rsidP="00CE4B14">
      <w:pPr>
        <w:pStyle w:val="a9"/>
        <w:spacing w:after="0"/>
        <w:ind w:left="0" w:firstLine="567"/>
        <w:jc w:val="both"/>
      </w:pPr>
      <w:r>
        <w:t xml:space="preserve">- на реализацию мероприятий перечня проектов народных инициатив в сумме 316 тыс. руб. (в т.ч. средства областного бюджета – 300 тыс. руб., средства местного бюджета – 16 тыс. руб.), </w:t>
      </w:r>
    </w:p>
    <w:p w:rsidR="00CE4B14" w:rsidRDefault="00CE4B14" w:rsidP="00CE4B14">
      <w:pPr>
        <w:pStyle w:val="a9"/>
        <w:spacing w:after="0"/>
        <w:ind w:left="0" w:firstLine="567"/>
        <w:jc w:val="both"/>
      </w:pPr>
      <w:r>
        <w:t>-</w:t>
      </w:r>
      <w:r w:rsidRPr="00846E96">
        <w:t xml:space="preserve"> </w:t>
      </w:r>
      <w:r>
        <w:t>на уличное освещение муниципального образования в сумме 128 тыс. руб.,</w:t>
      </w:r>
    </w:p>
    <w:p w:rsidR="00CE4B14" w:rsidRDefault="00CE4B14" w:rsidP="00CE4B14">
      <w:pPr>
        <w:autoSpaceDE w:val="0"/>
        <w:autoSpaceDN w:val="0"/>
        <w:adjustRightInd w:val="0"/>
        <w:ind w:firstLine="567"/>
        <w:jc w:val="both"/>
      </w:pPr>
      <w:r>
        <w:t>- на реализацию мероприятий муниципальной программы «Энергосбережение и повышение энергетической эффективности Чиканского муниципального образования на 2021-2025 г.г.» в сумме 10 тыс. руб.,</w:t>
      </w:r>
    </w:p>
    <w:p w:rsidR="00CE4B14" w:rsidRPr="004566BF" w:rsidRDefault="00CE4B14" w:rsidP="00CE4B14">
      <w:pPr>
        <w:autoSpaceDE w:val="0"/>
        <w:autoSpaceDN w:val="0"/>
        <w:adjustRightInd w:val="0"/>
        <w:ind w:firstLine="567"/>
        <w:jc w:val="both"/>
        <w:rPr>
          <w:i/>
        </w:rPr>
      </w:pPr>
      <w:r w:rsidRPr="00895EC4">
        <w:t xml:space="preserve"> </w:t>
      </w:r>
      <w:r>
        <w:t>- на реализацию мероприятий муниципальной программы «Благоустройство территории Чиканского муниципального образования на 2022-2024 годы»</w:t>
      </w:r>
      <w:r w:rsidRPr="00717D82">
        <w:t xml:space="preserve"> </w:t>
      </w:r>
      <w:r>
        <w:t xml:space="preserve">в сумме </w:t>
      </w:r>
      <w:r w:rsidR="00EA034D">
        <w:t>50</w:t>
      </w:r>
      <w:r>
        <w:t xml:space="preserve"> тыс. руб. </w:t>
      </w:r>
    </w:p>
    <w:p w:rsidR="00EA034D" w:rsidRPr="00260867" w:rsidRDefault="00EA034D" w:rsidP="00EA034D">
      <w:pPr>
        <w:widowControl w:val="0"/>
        <w:numPr>
          <w:ilvl w:val="12"/>
          <w:numId w:val="0"/>
        </w:numPr>
        <w:ind w:firstLine="567"/>
        <w:jc w:val="both"/>
      </w:pPr>
      <w:r>
        <w:t>Р</w:t>
      </w:r>
      <w:r w:rsidRPr="00260867">
        <w:t xml:space="preserve">асходы </w:t>
      </w:r>
      <w:r w:rsidRPr="00260867">
        <w:rPr>
          <w:u w:val="single"/>
        </w:rPr>
        <w:t>по разделу «</w:t>
      </w:r>
      <w:r>
        <w:rPr>
          <w:u w:val="single"/>
        </w:rPr>
        <w:t>Образование</w:t>
      </w:r>
      <w:r w:rsidRPr="00260867">
        <w:rPr>
          <w:u w:val="single"/>
        </w:rPr>
        <w:t>»</w:t>
      </w:r>
      <w:r w:rsidRPr="00260867">
        <w:t xml:space="preserve"> </w:t>
      </w:r>
      <w:r w:rsidRPr="00260867">
        <w:rPr>
          <w:u w:val="single"/>
        </w:rPr>
        <w:t xml:space="preserve">подразделу </w:t>
      </w:r>
      <w:r>
        <w:rPr>
          <w:u w:val="single"/>
        </w:rPr>
        <w:t>0705</w:t>
      </w:r>
      <w:r w:rsidRPr="00260867">
        <w:rPr>
          <w:u w:val="single"/>
        </w:rPr>
        <w:t xml:space="preserve"> «</w:t>
      </w:r>
      <w:r>
        <w:rPr>
          <w:u w:val="single"/>
        </w:rPr>
        <w:t>Профессиональная подготовка, переподготовка и повышение квалификации</w:t>
      </w:r>
      <w:r w:rsidRPr="00260867">
        <w:rPr>
          <w:u w:val="single"/>
        </w:rPr>
        <w:t>»</w:t>
      </w:r>
      <w:r w:rsidRPr="00260867">
        <w:t xml:space="preserve"> установлены </w:t>
      </w:r>
      <w:r>
        <w:t>в целях</w:t>
      </w:r>
      <w:r w:rsidRPr="00260867">
        <w:t xml:space="preserve"> </w:t>
      </w:r>
      <w:r>
        <w:t>повышения квалификации</w:t>
      </w:r>
      <w:r w:rsidRPr="00260867">
        <w:t xml:space="preserve"> муниципальны</w:t>
      </w:r>
      <w:r>
        <w:t>х</w:t>
      </w:r>
      <w:r w:rsidRPr="00260867">
        <w:t xml:space="preserve"> служащи</w:t>
      </w:r>
      <w:r>
        <w:t>х</w:t>
      </w:r>
      <w:r w:rsidRPr="00260867">
        <w:t xml:space="preserve"> на 202</w:t>
      </w:r>
      <w:r>
        <w:t>3</w:t>
      </w:r>
      <w:r w:rsidRPr="00260867">
        <w:t xml:space="preserve">г. в сумме </w:t>
      </w:r>
      <w:r>
        <w:t>16</w:t>
      </w:r>
      <w:r w:rsidRPr="00260867">
        <w:t xml:space="preserve"> тыс.руб., </w:t>
      </w:r>
      <w:r>
        <w:t>на уровне</w:t>
      </w:r>
      <w:r w:rsidRPr="00260867">
        <w:t xml:space="preserve"> оценк</w:t>
      </w:r>
      <w:r>
        <w:t>и исполнения</w:t>
      </w:r>
      <w:r w:rsidRPr="00260867">
        <w:t xml:space="preserve"> 20</w:t>
      </w:r>
      <w:r>
        <w:t>22г</w:t>
      </w:r>
      <w:r w:rsidRPr="00260867">
        <w:t>.</w:t>
      </w:r>
    </w:p>
    <w:p w:rsidR="00EA034D" w:rsidRPr="00260867" w:rsidRDefault="00EA034D" w:rsidP="00EA034D">
      <w:pPr>
        <w:widowControl w:val="0"/>
        <w:numPr>
          <w:ilvl w:val="12"/>
          <w:numId w:val="0"/>
        </w:numPr>
        <w:ind w:firstLine="567"/>
        <w:jc w:val="both"/>
      </w:pPr>
      <w:r w:rsidRPr="00260867">
        <w:t xml:space="preserve">Доля данных расходов  составляет </w:t>
      </w:r>
      <w:r>
        <w:t>0,1</w:t>
      </w:r>
      <w:r w:rsidRPr="00260867">
        <w:t>% от общей суммы расходов местного бюджета на 202</w:t>
      </w:r>
      <w:r>
        <w:t>3</w:t>
      </w:r>
      <w:r w:rsidRPr="00260867">
        <w:t xml:space="preserve"> год.</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46094C">
        <w:t>3378,5</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A640D0">
        <w:t>2</w:t>
      </w:r>
      <w:r w:rsidRPr="00096BA2">
        <w:t xml:space="preserve">г. на </w:t>
      </w:r>
      <w:r w:rsidR="0046094C">
        <w:t>3100,2</w:t>
      </w:r>
      <w:r w:rsidRPr="00096BA2">
        <w:t xml:space="preserve"> тыс.руб. (</w:t>
      </w:r>
      <w:r>
        <w:t>-</w:t>
      </w:r>
      <w:r w:rsidR="0046094C">
        <w:t>47,9</w:t>
      </w:r>
      <w:r w:rsidRPr="00096BA2">
        <w:t xml:space="preserve">%). </w:t>
      </w:r>
      <w:r w:rsidR="00A640D0">
        <w:t xml:space="preserve">Расходы на 2024-2025 годы установлены в сумме </w:t>
      </w:r>
      <w:r w:rsidR="0046094C">
        <w:t>3097,1</w:t>
      </w:r>
      <w:r w:rsidR="00A640D0">
        <w:t xml:space="preserve"> тыс. руб. и </w:t>
      </w:r>
      <w:r w:rsidR="0046094C">
        <w:t>2990,2</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46094C">
        <w:t>26,7</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46094C" w:rsidRPr="004566BF" w:rsidRDefault="0046094C" w:rsidP="0046094C">
      <w:pPr>
        <w:autoSpaceDE w:val="0"/>
        <w:autoSpaceDN w:val="0"/>
        <w:adjustRightInd w:val="0"/>
        <w:ind w:firstLine="567"/>
        <w:jc w:val="both"/>
        <w:rPr>
          <w:i/>
        </w:rPr>
      </w:pPr>
      <w:r>
        <w:t xml:space="preserve">В том числе в рамках реализации муниципальной программы «Текущий ремонт муниципального учреждения культуры Чиканский культурно-информационный центр «Успех» на 2022-2025 г.» на 2023 год установлены расходы в сумме 50 тыс. руб. </w:t>
      </w:r>
    </w:p>
    <w:p w:rsidR="0046094C" w:rsidRPr="00260867" w:rsidRDefault="0046094C" w:rsidP="0046094C">
      <w:pPr>
        <w:widowControl w:val="0"/>
        <w:numPr>
          <w:ilvl w:val="12"/>
          <w:numId w:val="0"/>
        </w:numPr>
        <w:ind w:firstLine="567"/>
        <w:jc w:val="both"/>
      </w:pPr>
      <w:r>
        <w:t>Р</w:t>
      </w:r>
      <w:r w:rsidRPr="00260867">
        <w:t xml:space="preserve">асходы </w:t>
      </w:r>
      <w:r w:rsidRPr="00260867">
        <w:rPr>
          <w:u w:val="single"/>
        </w:rPr>
        <w:t>по разделу «</w:t>
      </w:r>
      <w:r>
        <w:rPr>
          <w:u w:val="single"/>
        </w:rPr>
        <w:t>Физическая культура и спорт</w:t>
      </w:r>
      <w:r w:rsidRPr="00260867">
        <w:rPr>
          <w:u w:val="single"/>
        </w:rPr>
        <w:t>»</w:t>
      </w:r>
      <w:r w:rsidRPr="007A4074">
        <w:rPr>
          <w:u w:val="single"/>
        </w:rPr>
        <w:t xml:space="preserve"> </w:t>
      </w:r>
      <w:r w:rsidRPr="00260867">
        <w:rPr>
          <w:u w:val="single"/>
        </w:rPr>
        <w:t xml:space="preserve">подразделу </w:t>
      </w:r>
      <w:r>
        <w:rPr>
          <w:u w:val="single"/>
        </w:rPr>
        <w:t>1101</w:t>
      </w:r>
      <w:r w:rsidRPr="00260867">
        <w:rPr>
          <w:u w:val="single"/>
        </w:rPr>
        <w:t xml:space="preserve"> «</w:t>
      </w:r>
      <w:r>
        <w:rPr>
          <w:u w:val="single"/>
        </w:rPr>
        <w:t>Физическая культура</w:t>
      </w:r>
      <w:r w:rsidRPr="00260867">
        <w:rPr>
          <w:u w:val="single"/>
        </w:rPr>
        <w:t>»</w:t>
      </w:r>
      <w:r w:rsidRPr="00260867">
        <w:t xml:space="preserve"> установлены </w:t>
      </w:r>
      <w:r>
        <w:t xml:space="preserve">в целях реализации мероприятий муниципальной программы «Развитие физической культуры и спорта в Чиканском муниципальном образовании на 2021-2025 годы» </w:t>
      </w:r>
      <w:r w:rsidRPr="00260867">
        <w:t xml:space="preserve">на </w:t>
      </w:r>
      <w:r>
        <w:t>2023г</w:t>
      </w:r>
      <w:r w:rsidRPr="00260867">
        <w:t xml:space="preserve">. в сумме </w:t>
      </w:r>
      <w:r>
        <w:t>5</w:t>
      </w:r>
      <w:r w:rsidRPr="00260867">
        <w:t xml:space="preserve"> тыс.руб., с</w:t>
      </w:r>
      <w:r>
        <w:t>о</w:t>
      </w:r>
      <w:r w:rsidRPr="00260867">
        <w:t xml:space="preserve"> </w:t>
      </w:r>
      <w:r>
        <w:t>снижением</w:t>
      </w:r>
      <w:r w:rsidRPr="00260867">
        <w:t xml:space="preserve"> к оценке 20</w:t>
      </w:r>
      <w:r>
        <w:t>22</w:t>
      </w:r>
      <w:r w:rsidRPr="00260867">
        <w:t xml:space="preserve">г. на </w:t>
      </w:r>
      <w:r>
        <w:t>0,3 тыс.руб. (-5,7%)</w:t>
      </w:r>
      <w:r w:rsidRPr="00260867">
        <w:t>.</w:t>
      </w:r>
    </w:p>
    <w:p w:rsidR="0046094C" w:rsidRPr="00260867" w:rsidRDefault="0046094C" w:rsidP="0046094C">
      <w:pPr>
        <w:widowControl w:val="0"/>
        <w:numPr>
          <w:ilvl w:val="12"/>
          <w:numId w:val="0"/>
        </w:numPr>
        <w:ind w:firstLine="567"/>
        <w:jc w:val="both"/>
      </w:pPr>
      <w:r w:rsidRPr="00260867">
        <w:t xml:space="preserve">Доля данных расходов  составляет </w:t>
      </w:r>
      <w:r>
        <w:t>0,04</w:t>
      </w:r>
      <w:r w:rsidRPr="00260867">
        <w:t>% от общей суммы расходов местного бюджета на 202</w:t>
      </w:r>
      <w:r>
        <w:t>2</w:t>
      </w:r>
      <w:r w:rsidRPr="00260867">
        <w:t xml:space="preserve"> год.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96,1</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C52E4">
        <w:t>7,</w:t>
      </w:r>
      <w:r w:rsidR="0046094C">
        <w:t>9</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D140D3" w:rsidRDefault="00D140D3"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7C2B53">
        <w:t>Чиканского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7C2B53">
        <w:t>Чиканского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823356">
        <w:t>не позднее</w:t>
      </w:r>
      <w:r w:rsidR="00314F7B">
        <w:t xml:space="preserve"> 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7C2B53">
        <w:t>Чиканского</w:t>
      </w:r>
      <w:r>
        <w:t xml:space="preserve"> сельского поселения</w:t>
      </w:r>
      <w:r w:rsidRPr="00521E70">
        <w:t xml:space="preserve"> «О бюджете </w:t>
      </w:r>
      <w:r w:rsidR="007C2B53">
        <w:t>Чиканского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29" w:rsidRDefault="007E3B29" w:rsidP="00645CD8">
      <w:r>
        <w:separator/>
      </w:r>
    </w:p>
  </w:endnote>
  <w:endnote w:type="continuationSeparator" w:id="1">
    <w:p w:rsidR="007E3B29" w:rsidRDefault="007E3B29"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29" w:rsidRDefault="007E3B29" w:rsidP="00645CD8">
      <w:r>
        <w:separator/>
      </w:r>
    </w:p>
  </w:footnote>
  <w:footnote w:type="continuationSeparator" w:id="1">
    <w:p w:rsidR="007E3B29" w:rsidRDefault="007E3B29"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07" w:rsidRDefault="00D70138" w:rsidP="002B637C">
    <w:pPr>
      <w:pStyle w:val="aff2"/>
      <w:framePr w:wrap="around" w:vAnchor="text" w:hAnchor="margin" w:xAlign="right" w:y="1"/>
      <w:rPr>
        <w:rStyle w:val="aff4"/>
      </w:rPr>
    </w:pPr>
    <w:r>
      <w:rPr>
        <w:rStyle w:val="aff4"/>
      </w:rPr>
      <w:fldChar w:fldCharType="begin"/>
    </w:r>
    <w:r w:rsidR="00831807">
      <w:rPr>
        <w:rStyle w:val="aff4"/>
      </w:rPr>
      <w:instrText xml:space="preserve">PAGE  </w:instrText>
    </w:r>
    <w:r>
      <w:rPr>
        <w:rStyle w:val="aff4"/>
      </w:rPr>
      <w:fldChar w:fldCharType="end"/>
    </w:r>
  </w:p>
  <w:p w:rsidR="00831807" w:rsidRDefault="00831807"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07" w:rsidRDefault="00D70138">
    <w:pPr>
      <w:pStyle w:val="aff2"/>
      <w:jc w:val="right"/>
    </w:pPr>
    <w:fldSimple w:instr=" PAGE   \* MERGEFORMAT ">
      <w:r w:rsidR="007E3B29">
        <w:rPr>
          <w:noProof/>
        </w:rPr>
        <w:t>1</w:t>
      </w:r>
    </w:fldSimple>
  </w:p>
  <w:p w:rsidR="00831807" w:rsidRDefault="00831807"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789"/>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0DC9"/>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0BDD"/>
    <w:rsid w:val="00060C8A"/>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03D4"/>
    <w:rsid w:val="000806FB"/>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2977"/>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10E1"/>
    <w:rsid w:val="00171264"/>
    <w:rsid w:val="00172085"/>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5090"/>
    <w:rsid w:val="00195276"/>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4B87"/>
    <w:rsid w:val="001D6CC9"/>
    <w:rsid w:val="001E06B6"/>
    <w:rsid w:val="001E0E59"/>
    <w:rsid w:val="001E114B"/>
    <w:rsid w:val="001E2FAA"/>
    <w:rsid w:val="001E46E0"/>
    <w:rsid w:val="001E59EA"/>
    <w:rsid w:val="001E62E6"/>
    <w:rsid w:val="001E7AAA"/>
    <w:rsid w:val="001F05D6"/>
    <w:rsid w:val="001F0800"/>
    <w:rsid w:val="001F0B1C"/>
    <w:rsid w:val="001F13CC"/>
    <w:rsid w:val="001F1623"/>
    <w:rsid w:val="001F1DA0"/>
    <w:rsid w:val="001F2E0F"/>
    <w:rsid w:val="001F35BC"/>
    <w:rsid w:val="001F39A9"/>
    <w:rsid w:val="001F3B6E"/>
    <w:rsid w:val="001F429A"/>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7FD"/>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696"/>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61B"/>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65E"/>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97880"/>
    <w:rsid w:val="002A03E0"/>
    <w:rsid w:val="002A05AB"/>
    <w:rsid w:val="002A187F"/>
    <w:rsid w:val="002A1A24"/>
    <w:rsid w:val="002A327E"/>
    <w:rsid w:val="002A388D"/>
    <w:rsid w:val="002A534E"/>
    <w:rsid w:val="002A6EE4"/>
    <w:rsid w:val="002A78BB"/>
    <w:rsid w:val="002A7EBC"/>
    <w:rsid w:val="002B0077"/>
    <w:rsid w:val="002B1E8B"/>
    <w:rsid w:val="002B3228"/>
    <w:rsid w:val="002B4DD4"/>
    <w:rsid w:val="002B524C"/>
    <w:rsid w:val="002B5C8C"/>
    <w:rsid w:val="002B6228"/>
    <w:rsid w:val="002B637C"/>
    <w:rsid w:val="002B6469"/>
    <w:rsid w:val="002B6DC6"/>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AE5"/>
    <w:rsid w:val="00306C81"/>
    <w:rsid w:val="0030716A"/>
    <w:rsid w:val="00310024"/>
    <w:rsid w:val="00310260"/>
    <w:rsid w:val="00310685"/>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3312"/>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2BE5"/>
    <w:rsid w:val="003C300E"/>
    <w:rsid w:val="003C306B"/>
    <w:rsid w:val="003C39D2"/>
    <w:rsid w:val="003C4797"/>
    <w:rsid w:val="003C4819"/>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A67"/>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D78"/>
    <w:rsid w:val="00425F3C"/>
    <w:rsid w:val="00426071"/>
    <w:rsid w:val="0042748C"/>
    <w:rsid w:val="00430227"/>
    <w:rsid w:val="00430F5B"/>
    <w:rsid w:val="004324DF"/>
    <w:rsid w:val="00432D43"/>
    <w:rsid w:val="0043322D"/>
    <w:rsid w:val="0043337C"/>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094C"/>
    <w:rsid w:val="00462578"/>
    <w:rsid w:val="00462800"/>
    <w:rsid w:val="004632D0"/>
    <w:rsid w:val="00463AB1"/>
    <w:rsid w:val="00463B01"/>
    <w:rsid w:val="0046402B"/>
    <w:rsid w:val="00464837"/>
    <w:rsid w:val="00464FBA"/>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1D83"/>
    <w:rsid w:val="004A2CC3"/>
    <w:rsid w:val="004A31DB"/>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95B"/>
    <w:rsid w:val="004C2EA3"/>
    <w:rsid w:val="004C2F08"/>
    <w:rsid w:val="004C3045"/>
    <w:rsid w:val="004C4B59"/>
    <w:rsid w:val="004C600E"/>
    <w:rsid w:val="004C6486"/>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87F80"/>
    <w:rsid w:val="00593D39"/>
    <w:rsid w:val="005944C6"/>
    <w:rsid w:val="00594D2A"/>
    <w:rsid w:val="0059504F"/>
    <w:rsid w:val="0059537F"/>
    <w:rsid w:val="00595634"/>
    <w:rsid w:val="00595749"/>
    <w:rsid w:val="00596080"/>
    <w:rsid w:val="0059752A"/>
    <w:rsid w:val="005A0D0F"/>
    <w:rsid w:val="005A13E5"/>
    <w:rsid w:val="005A1BDD"/>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C35"/>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3B"/>
    <w:rsid w:val="00611D63"/>
    <w:rsid w:val="00613302"/>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2D87"/>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4AB7"/>
    <w:rsid w:val="007052B6"/>
    <w:rsid w:val="00705D1F"/>
    <w:rsid w:val="007062F6"/>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E7E"/>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0AB2"/>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235"/>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2B53"/>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3B2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3356"/>
    <w:rsid w:val="00823847"/>
    <w:rsid w:val="008240E4"/>
    <w:rsid w:val="00824654"/>
    <w:rsid w:val="00825E30"/>
    <w:rsid w:val="00826150"/>
    <w:rsid w:val="00826527"/>
    <w:rsid w:val="008271CC"/>
    <w:rsid w:val="0082766B"/>
    <w:rsid w:val="0083030C"/>
    <w:rsid w:val="00830EFA"/>
    <w:rsid w:val="00830F17"/>
    <w:rsid w:val="008316E2"/>
    <w:rsid w:val="00831807"/>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FCD"/>
    <w:rsid w:val="009B3DEB"/>
    <w:rsid w:val="009B40D6"/>
    <w:rsid w:val="009B4383"/>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233"/>
    <w:rsid w:val="00A05BA4"/>
    <w:rsid w:val="00A06621"/>
    <w:rsid w:val="00A10376"/>
    <w:rsid w:val="00A10E3D"/>
    <w:rsid w:val="00A112AF"/>
    <w:rsid w:val="00A1257A"/>
    <w:rsid w:val="00A12B66"/>
    <w:rsid w:val="00A1548C"/>
    <w:rsid w:val="00A15EA4"/>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2D22"/>
    <w:rsid w:val="00A938A4"/>
    <w:rsid w:val="00A95ED0"/>
    <w:rsid w:val="00A9738F"/>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4047"/>
    <w:rsid w:val="00AC5505"/>
    <w:rsid w:val="00AC5900"/>
    <w:rsid w:val="00AC60CD"/>
    <w:rsid w:val="00AC6751"/>
    <w:rsid w:val="00AC7C0E"/>
    <w:rsid w:val="00AD0358"/>
    <w:rsid w:val="00AD11DF"/>
    <w:rsid w:val="00AD1C38"/>
    <w:rsid w:val="00AD1D8D"/>
    <w:rsid w:val="00AD221A"/>
    <w:rsid w:val="00AD246E"/>
    <w:rsid w:val="00AD54F3"/>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5AFA"/>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05B4"/>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1BB9"/>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6F6B"/>
    <w:rsid w:val="00BD75B2"/>
    <w:rsid w:val="00BE19D3"/>
    <w:rsid w:val="00BE2561"/>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27ACC"/>
    <w:rsid w:val="00C304E2"/>
    <w:rsid w:val="00C31C6A"/>
    <w:rsid w:val="00C321A3"/>
    <w:rsid w:val="00C32250"/>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06ED"/>
    <w:rsid w:val="00C61128"/>
    <w:rsid w:val="00C61DF1"/>
    <w:rsid w:val="00C61E55"/>
    <w:rsid w:val="00C620C1"/>
    <w:rsid w:val="00C62B92"/>
    <w:rsid w:val="00C62CFF"/>
    <w:rsid w:val="00C637A2"/>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794"/>
    <w:rsid w:val="00C96B58"/>
    <w:rsid w:val="00CA0518"/>
    <w:rsid w:val="00CA051D"/>
    <w:rsid w:val="00CA1178"/>
    <w:rsid w:val="00CA15EF"/>
    <w:rsid w:val="00CA1927"/>
    <w:rsid w:val="00CA2530"/>
    <w:rsid w:val="00CA3676"/>
    <w:rsid w:val="00CA6024"/>
    <w:rsid w:val="00CA6827"/>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14"/>
    <w:rsid w:val="00CE4B6E"/>
    <w:rsid w:val="00CE535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40D3"/>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47936"/>
    <w:rsid w:val="00D50BBE"/>
    <w:rsid w:val="00D51A79"/>
    <w:rsid w:val="00D51F5E"/>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0138"/>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2093"/>
    <w:rsid w:val="00DE320D"/>
    <w:rsid w:val="00DE5410"/>
    <w:rsid w:val="00DE5ECA"/>
    <w:rsid w:val="00DE6478"/>
    <w:rsid w:val="00DE6C8F"/>
    <w:rsid w:val="00DE7370"/>
    <w:rsid w:val="00DF039B"/>
    <w:rsid w:val="00DF0D55"/>
    <w:rsid w:val="00DF1DE9"/>
    <w:rsid w:val="00DF22CF"/>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7398"/>
    <w:rsid w:val="00E20652"/>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661"/>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34D"/>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1A88"/>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0E7B"/>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607"/>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6405"/>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12</Pages>
  <Words>5945</Words>
  <Characters>33890</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Ведущий инспектор                                                               </vt:lpstr>
    </vt:vector>
  </TitlesOfParts>
  <Company>*</Company>
  <LinksUpToDate>false</LinksUpToDate>
  <CharactersWithSpaces>39756</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49</cp:revision>
  <cp:lastPrinted>2022-11-24T01:39:00Z</cp:lastPrinted>
  <dcterms:created xsi:type="dcterms:W3CDTF">2022-11-23T02:17:00Z</dcterms:created>
  <dcterms:modified xsi:type="dcterms:W3CDTF">2022-12-01T07:33:00Z</dcterms:modified>
</cp:coreProperties>
</file>