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5C6EBC" w:rsidP="00774830">
      <w:pPr>
        <w:pStyle w:val="a3"/>
        <w:tabs>
          <w:tab w:val="left" w:pos="0"/>
        </w:tabs>
        <w:autoSpaceDE/>
        <w:autoSpaceDN/>
        <w:spacing w:after="0"/>
        <w:ind w:firstLine="567"/>
        <w:jc w:val="both"/>
        <w:rPr>
          <w:sz w:val="24"/>
          <w:szCs w:val="24"/>
        </w:rPr>
      </w:pPr>
      <w:r>
        <w:rPr>
          <w:sz w:val="24"/>
          <w:szCs w:val="24"/>
        </w:rPr>
        <w:t>2</w:t>
      </w:r>
      <w:r w:rsidR="00E663D2">
        <w:rPr>
          <w:sz w:val="24"/>
          <w:szCs w:val="24"/>
        </w:rPr>
        <w:t>7</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1156F8">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752452">
        <w:rPr>
          <w:sz w:val="24"/>
          <w:szCs w:val="24"/>
        </w:rPr>
        <w:t>4</w:t>
      </w:r>
      <w:r w:rsidR="00E663D2">
        <w:rPr>
          <w:sz w:val="24"/>
          <w:szCs w:val="24"/>
        </w:rPr>
        <w:t>8</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AC241A">
        <w:t>Усть-Илгинского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AC241A">
        <w:rPr>
          <w:bCs/>
        </w:rPr>
        <w:t>Усть-Илгинского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AC241A">
        <w:t>Усть-Илгинского</w:t>
      </w:r>
      <w:r w:rsidR="0000549E">
        <w:t xml:space="preserve"> сельского поселения</w:t>
      </w:r>
      <w:r w:rsidR="00462578" w:rsidRPr="00A621A3">
        <w:t xml:space="preserve"> «</w:t>
      </w:r>
      <w:r w:rsidR="00774830">
        <w:rPr>
          <w:bCs/>
        </w:rPr>
        <w:t xml:space="preserve">О бюджете </w:t>
      </w:r>
      <w:r w:rsidR="00AC241A">
        <w:rPr>
          <w:bCs/>
        </w:rPr>
        <w:t>Усть-Илгинского</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AC241A">
        <w:t>Усть-Илгинском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FC051B">
        <w:t>8</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752452">
        <w:rPr>
          <w:sz w:val="24"/>
          <w:szCs w:val="24"/>
        </w:rPr>
        <w:t>5</w:t>
      </w:r>
      <w:r w:rsidR="00BF0BE8" w:rsidRPr="00B9579E">
        <w:rPr>
          <w:sz w:val="24"/>
          <w:szCs w:val="24"/>
        </w:rPr>
        <w:t>.11.202</w:t>
      </w:r>
      <w:r w:rsidR="008B5F4D">
        <w:rPr>
          <w:sz w:val="24"/>
          <w:szCs w:val="24"/>
        </w:rPr>
        <w:t>3</w:t>
      </w:r>
      <w:r w:rsidR="00BF0BE8" w:rsidRPr="00B9579E">
        <w:rPr>
          <w:sz w:val="24"/>
          <w:szCs w:val="24"/>
        </w:rPr>
        <w:t xml:space="preserve">г. (вхд. № </w:t>
      </w:r>
      <w:r w:rsidR="000D2357">
        <w:rPr>
          <w:sz w:val="24"/>
          <w:szCs w:val="24"/>
        </w:rPr>
        <w:t>112</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AC241A">
        <w:rPr>
          <w:sz w:val="24"/>
          <w:szCs w:val="24"/>
        </w:rPr>
        <w:t>Усть-Илгинского</w:t>
      </w:r>
      <w:r w:rsidR="001D1F44" w:rsidRPr="00045A16">
        <w:rPr>
          <w:sz w:val="24"/>
          <w:szCs w:val="24"/>
        </w:rPr>
        <w:t xml:space="preserve"> 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AC241A">
        <w:rPr>
          <w:sz w:val="24"/>
          <w:szCs w:val="24"/>
        </w:rPr>
        <w:t>Усть-Илгинского</w:t>
      </w:r>
      <w:r w:rsidR="001D1F44">
        <w:rPr>
          <w:sz w:val="24"/>
          <w:szCs w:val="24"/>
        </w:rPr>
        <w:t xml:space="preserve"> сельского поселения от </w:t>
      </w:r>
      <w:r w:rsidR="000D2357">
        <w:rPr>
          <w:sz w:val="24"/>
          <w:szCs w:val="24"/>
        </w:rPr>
        <w:t>27</w:t>
      </w:r>
      <w:r w:rsidR="001D1F44">
        <w:rPr>
          <w:sz w:val="24"/>
          <w:szCs w:val="24"/>
        </w:rPr>
        <w:t>.0</w:t>
      </w:r>
      <w:r w:rsidR="000D2357">
        <w:rPr>
          <w:sz w:val="24"/>
          <w:szCs w:val="24"/>
        </w:rPr>
        <w:t>9</w:t>
      </w:r>
      <w:r w:rsidR="001D1F44">
        <w:rPr>
          <w:sz w:val="24"/>
          <w:szCs w:val="24"/>
        </w:rPr>
        <w:t>.202</w:t>
      </w:r>
      <w:r w:rsidR="000D2357">
        <w:rPr>
          <w:sz w:val="24"/>
          <w:szCs w:val="24"/>
        </w:rPr>
        <w:t>3</w:t>
      </w:r>
      <w:r w:rsidR="001D1F44">
        <w:rPr>
          <w:sz w:val="24"/>
          <w:szCs w:val="24"/>
        </w:rPr>
        <w:t xml:space="preserve"> № </w:t>
      </w:r>
      <w:r w:rsidR="000D2357">
        <w:rPr>
          <w:sz w:val="24"/>
          <w:szCs w:val="24"/>
        </w:rPr>
        <w:t>29</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AC241A">
        <w:rPr>
          <w:sz w:val="24"/>
          <w:szCs w:val="24"/>
        </w:rPr>
        <w:t>Усть-Илгинского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81CA8">
        <w:t>4</w:t>
      </w:r>
      <w:r w:rsidR="00FB7382">
        <w:t xml:space="preserve"> год и на плановый период 20</w:t>
      </w:r>
      <w:r w:rsidR="00AF3A4B">
        <w:t>2</w:t>
      </w:r>
      <w:r w:rsidR="00781CA8">
        <w:t>5</w:t>
      </w:r>
      <w:r w:rsidR="00FB7382">
        <w:t xml:space="preserve"> и 20</w:t>
      </w:r>
      <w:r w:rsidR="004068CA">
        <w:t>2</w:t>
      </w:r>
      <w:r w:rsidR="00781CA8">
        <w:t>6</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rsidR="00FB7382">
        <w:t xml:space="preserve">относящихся к планированию бюджета </w:t>
      </w:r>
      <w:r w:rsidR="00AC241A">
        <w:t>Усть-Илгинского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AC241A">
        <w:t>Усть-Илгинского</w:t>
      </w:r>
      <w:r w:rsidR="0000549E">
        <w:t xml:space="preserve"> </w:t>
      </w:r>
      <w:r w:rsidR="00BB27A8">
        <w:t>муниципального образования</w:t>
      </w:r>
      <w:r w:rsidR="00050193">
        <w:t xml:space="preserve"> на 20</w:t>
      </w:r>
      <w:r w:rsidR="00BB27A8">
        <w:t>2</w:t>
      </w:r>
      <w:r w:rsidR="00781CA8">
        <w:t>4</w:t>
      </w:r>
      <w:r w:rsidR="00050193">
        <w:t>-202</w:t>
      </w:r>
      <w:r w:rsidR="00781CA8">
        <w:t>6</w:t>
      </w:r>
      <w:r w:rsidR="00050193">
        <w:t xml:space="preserve"> г</w:t>
      </w:r>
      <w:r w:rsidR="00781CA8">
        <w:t>оды</w:t>
      </w:r>
      <w:r w:rsidR="00FB7382">
        <w:t>,</w:t>
      </w:r>
      <w:r>
        <w:t xml:space="preserve"> одобренного постановлением администрации </w:t>
      </w:r>
      <w:r w:rsidR="00AC241A">
        <w:t>Усть-Илгинского</w:t>
      </w:r>
      <w:r>
        <w:t xml:space="preserve"> сельского поселения от </w:t>
      </w:r>
      <w:r w:rsidR="00C63D24">
        <w:t>01</w:t>
      </w:r>
      <w:r>
        <w:t>.1</w:t>
      </w:r>
      <w:r w:rsidR="00C63D24">
        <w:t>1</w:t>
      </w:r>
      <w:r>
        <w:t>.202</w:t>
      </w:r>
      <w:r w:rsidR="00781CA8">
        <w:t>3</w:t>
      </w:r>
      <w:r>
        <w:t xml:space="preserve"> №</w:t>
      </w:r>
      <w:r w:rsidR="000A2EE7">
        <w:t xml:space="preserve"> </w:t>
      </w:r>
      <w:r w:rsidR="0041480D">
        <w:t>38-од</w:t>
      </w:r>
      <w:r w:rsidR="00AF13EC">
        <w:t xml:space="preserve"> (далее – Прогноз</w:t>
      </w:r>
      <w:r w:rsidR="00781CA8">
        <w:t xml:space="preserve"> СЭР</w:t>
      </w:r>
      <w:r w:rsidR="00AF13EC">
        <w:t>)</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AC241A">
        <w:t>Усть-Илгинского</w:t>
      </w:r>
      <w:r w:rsidR="0000549E">
        <w:t xml:space="preserve"> </w:t>
      </w:r>
      <w:r w:rsidR="009738D3">
        <w:t>муниципального образования</w:t>
      </w:r>
      <w:r w:rsidR="00BA727E">
        <w:t xml:space="preserve"> </w:t>
      </w:r>
      <w:r w:rsidR="00752452">
        <w:t>на 2024 год и плановый период 2025 и 2026 годов</w:t>
      </w:r>
      <w:r w:rsidR="00EC58A1">
        <w:t xml:space="preserve">, утвержденных постановлением администрации </w:t>
      </w:r>
      <w:r w:rsidR="00AC241A">
        <w:t>Усть-Илгинского</w:t>
      </w:r>
      <w:r w:rsidR="00EC58A1">
        <w:t xml:space="preserve"> сельского поселения от </w:t>
      </w:r>
      <w:r w:rsidR="0041480D">
        <w:t>01</w:t>
      </w:r>
      <w:r w:rsidR="00EC58A1">
        <w:t>.1</w:t>
      </w:r>
      <w:r w:rsidR="0041480D">
        <w:t>1</w:t>
      </w:r>
      <w:r w:rsidR="00EC58A1">
        <w:t>.202</w:t>
      </w:r>
      <w:r w:rsidR="00781CA8">
        <w:t>3</w:t>
      </w:r>
      <w:r w:rsidR="00EC58A1">
        <w:t xml:space="preserve"> № </w:t>
      </w:r>
      <w:r w:rsidR="0041480D">
        <w:t>39-од</w:t>
      </w:r>
      <w:r w:rsidR="008D71B6">
        <w:t xml:space="preserve"> (далее – Основные направления)</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AC241A">
        <w:t>Усть-Илгинского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33010D" w:rsidRDefault="00731178" w:rsidP="0033010D">
      <w:pPr>
        <w:ind w:firstLine="709"/>
        <w:jc w:val="both"/>
      </w:pPr>
      <w:r w:rsidRPr="0033010D">
        <w:t>КСК района</w:t>
      </w:r>
      <w:r w:rsidR="00E8288D" w:rsidRPr="0033010D">
        <w:t>,</w:t>
      </w:r>
      <w:r w:rsidRPr="0033010D">
        <w:t xml:space="preserve"> проанализировав представленные документы</w:t>
      </w:r>
      <w:r w:rsidR="00E8288D" w:rsidRPr="0033010D">
        <w:t>,</w:t>
      </w:r>
      <w:r w:rsidRPr="0033010D">
        <w:t xml:space="preserve"> отмечает следующее.</w:t>
      </w:r>
    </w:p>
    <w:p w:rsidR="008D71B6" w:rsidRPr="0033010D" w:rsidRDefault="008D71B6" w:rsidP="0033010D">
      <w:pPr>
        <w:pStyle w:val="af4"/>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i/>
          <w:sz w:val="24"/>
          <w:szCs w:val="24"/>
        </w:rPr>
      </w:pPr>
      <w:bookmarkStart w:id="3" w:name="sub_184202"/>
      <w:r w:rsidRPr="0033010D">
        <w:rPr>
          <w:rFonts w:ascii="Times New Roman" w:hAnsi="Times New Roman"/>
          <w:i/>
          <w:sz w:val="24"/>
          <w:szCs w:val="24"/>
        </w:rPr>
        <w:t>КСК района отмечает, что Основные направления не содержат итогов реализации бюджетной и налоговой политики в 20</w:t>
      </w:r>
      <w:r w:rsidR="0033010D" w:rsidRPr="0033010D">
        <w:rPr>
          <w:rFonts w:ascii="Times New Roman" w:hAnsi="Times New Roman"/>
          <w:i/>
          <w:sz w:val="24"/>
          <w:szCs w:val="24"/>
        </w:rPr>
        <w:t>22</w:t>
      </w:r>
      <w:r w:rsidRPr="0033010D">
        <w:rPr>
          <w:rFonts w:ascii="Times New Roman" w:hAnsi="Times New Roman"/>
          <w:i/>
          <w:sz w:val="24"/>
          <w:szCs w:val="24"/>
        </w:rPr>
        <w:t>-202</w:t>
      </w:r>
      <w:r w:rsidR="0033010D" w:rsidRPr="0033010D">
        <w:rPr>
          <w:rFonts w:ascii="Times New Roman" w:hAnsi="Times New Roman"/>
          <w:i/>
          <w:sz w:val="24"/>
          <w:szCs w:val="24"/>
        </w:rPr>
        <w:t>3</w:t>
      </w:r>
      <w:r w:rsidRPr="0033010D">
        <w:rPr>
          <w:rFonts w:ascii="Times New Roman" w:hAnsi="Times New Roman"/>
          <w:i/>
          <w:sz w:val="24"/>
          <w:szCs w:val="24"/>
        </w:rPr>
        <w:t xml:space="preserve"> годах.</w:t>
      </w:r>
    </w:p>
    <w:p w:rsidR="009D66F8" w:rsidRPr="00521AA6" w:rsidRDefault="009D66F8" w:rsidP="0033010D">
      <w:pPr>
        <w:pStyle w:val="af2"/>
        <w:numPr>
          <w:ilvl w:val="0"/>
          <w:numId w:val="18"/>
        </w:numPr>
        <w:tabs>
          <w:tab w:val="left" w:pos="993"/>
        </w:tabs>
        <w:ind w:left="0" w:firstLine="709"/>
        <w:jc w:val="both"/>
        <w:rPr>
          <w:rFonts w:ascii="Times New Roman" w:hAnsi="Times New Roman" w:cs="Times New Roman"/>
          <w:bCs/>
          <w:i/>
        </w:rPr>
      </w:pPr>
      <w:r w:rsidRPr="0033010D">
        <w:rPr>
          <w:rFonts w:ascii="Times New Roman" w:hAnsi="Times New Roman" w:cs="Times New Roman"/>
          <w:i/>
        </w:rPr>
        <w:t xml:space="preserve">В Реестре источников доходов бюджета </w:t>
      </w:r>
      <w:r w:rsidR="00AC241A" w:rsidRPr="0033010D">
        <w:rPr>
          <w:rFonts w:ascii="Times New Roman" w:hAnsi="Times New Roman" w:cs="Times New Roman"/>
          <w:i/>
        </w:rPr>
        <w:t>Усть-Илгинского</w:t>
      </w:r>
      <w:r w:rsidRPr="0033010D">
        <w:rPr>
          <w:rFonts w:ascii="Times New Roman" w:hAnsi="Times New Roman" w:cs="Times New Roman"/>
          <w:i/>
        </w:rPr>
        <w:t xml:space="preserve"> сельского поселения </w:t>
      </w:r>
      <w:r w:rsidR="00752452" w:rsidRPr="0033010D">
        <w:rPr>
          <w:rFonts w:ascii="Times New Roman" w:hAnsi="Times New Roman" w:cs="Times New Roman"/>
          <w:i/>
        </w:rPr>
        <w:t>на 2024 год и плановый период 2025 и 2026 годов</w:t>
      </w:r>
      <w:r w:rsidRPr="0033010D">
        <w:rPr>
          <w:rFonts w:ascii="Times New Roman" w:hAnsi="Times New Roman" w:cs="Times New Roman"/>
          <w:i/>
        </w:rPr>
        <w:t xml:space="preserve"> </w:t>
      </w:r>
      <w:r w:rsidR="00D964FC" w:rsidRPr="0033010D">
        <w:rPr>
          <w:rFonts w:ascii="Times New Roman" w:hAnsi="Times New Roman" w:cs="Times New Roman"/>
          <w:i/>
        </w:rPr>
        <w:t xml:space="preserve">(далее – Реестр) </w:t>
      </w:r>
      <w:r w:rsidRPr="0033010D">
        <w:rPr>
          <w:rFonts w:ascii="Times New Roman" w:hAnsi="Times New Roman" w:cs="Times New Roman"/>
          <w:i/>
        </w:rPr>
        <w:t>н</w:t>
      </w:r>
      <w:r w:rsidRPr="0033010D">
        <w:rPr>
          <w:rFonts w:ascii="Times New Roman" w:hAnsi="Times New Roman" w:cs="Times New Roman"/>
          <w:i/>
          <w:u w:val="single"/>
        </w:rPr>
        <w:t>орматив зачислений</w:t>
      </w:r>
      <w:r w:rsidRPr="0033010D">
        <w:rPr>
          <w:rFonts w:ascii="Times New Roman" w:hAnsi="Times New Roman" w:cs="Times New Roman"/>
          <w:i/>
        </w:rPr>
        <w:t xml:space="preserve"> в местный бюджет по акцизам по подакцизным товарам (продукции), производимым на территории Российской</w:t>
      </w:r>
      <w:r w:rsidRPr="0087126B">
        <w:rPr>
          <w:rFonts w:ascii="Times New Roman" w:hAnsi="Times New Roman" w:cs="Times New Roman"/>
          <w:i/>
        </w:rPr>
        <w:t xml:space="preserve"> Федерации (КБК 100 1 03 02000 01 0000 110) </w:t>
      </w:r>
      <w:r w:rsidRPr="0087126B">
        <w:rPr>
          <w:rFonts w:ascii="Times New Roman" w:hAnsi="Times New Roman" w:cs="Times New Roman"/>
          <w:i/>
          <w:u w:val="single"/>
        </w:rPr>
        <w:t>установлен</w:t>
      </w:r>
      <w:r w:rsidR="00041CAE" w:rsidRPr="0087126B">
        <w:rPr>
          <w:rFonts w:ascii="Times New Roman" w:hAnsi="Times New Roman" w:cs="Times New Roman"/>
          <w:i/>
          <w:u w:val="single"/>
        </w:rPr>
        <w:t xml:space="preserve"> в размере </w:t>
      </w:r>
      <w:r w:rsidR="00D3231F" w:rsidRPr="0087126B">
        <w:rPr>
          <w:rFonts w:ascii="Times New Roman" w:hAnsi="Times New Roman" w:cs="Times New Roman"/>
          <w:i/>
          <w:u w:val="single"/>
        </w:rPr>
        <w:t>0,00</w:t>
      </w:r>
      <w:r w:rsidR="007748CA" w:rsidRPr="0087126B">
        <w:rPr>
          <w:rFonts w:ascii="Times New Roman" w:hAnsi="Times New Roman" w:cs="Times New Roman"/>
          <w:i/>
          <w:u w:val="single"/>
        </w:rPr>
        <w:t>6</w:t>
      </w:r>
      <w:r w:rsidR="00041CAE" w:rsidRPr="0087126B">
        <w:rPr>
          <w:rFonts w:ascii="Times New Roman" w:hAnsi="Times New Roman" w:cs="Times New Roman"/>
          <w:i/>
          <w:u w:val="single"/>
        </w:rPr>
        <w:t>%</w:t>
      </w:r>
      <w:r w:rsidRPr="0087126B">
        <w:rPr>
          <w:rFonts w:ascii="Times New Roman" w:hAnsi="Times New Roman" w:cs="Times New Roman"/>
          <w:i/>
        </w:rPr>
        <w:t>,  в соответствии со статьей 61.5 БК РФ, пунктом 3 статьи 3 проекта закона Иркутской области «Об областном бюджете на 202</w:t>
      </w:r>
      <w:r w:rsidR="00D3231F" w:rsidRPr="0087126B">
        <w:rPr>
          <w:rFonts w:ascii="Times New Roman" w:hAnsi="Times New Roman" w:cs="Times New Roman"/>
          <w:i/>
        </w:rPr>
        <w:t>4</w:t>
      </w:r>
      <w:r w:rsidRPr="0087126B">
        <w:rPr>
          <w:rFonts w:ascii="Times New Roman" w:hAnsi="Times New Roman" w:cs="Times New Roman"/>
          <w:i/>
        </w:rPr>
        <w:t xml:space="preserve"> год и на плановый период 202</w:t>
      </w:r>
      <w:r w:rsidR="00D3231F" w:rsidRPr="0087126B">
        <w:rPr>
          <w:rFonts w:ascii="Times New Roman" w:hAnsi="Times New Roman" w:cs="Times New Roman"/>
          <w:i/>
        </w:rPr>
        <w:t>5</w:t>
      </w:r>
      <w:r w:rsidRPr="0087126B">
        <w:rPr>
          <w:rFonts w:ascii="Times New Roman" w:hAnsi="Times New Roman" w:cs="Times New Roman"/>
          <w:i/>
        </w:rPr>
        <w:t xml:space="preserve"> и 202</w:t>
      </w:r>
      <w:r w:rsidR="00D3231F" w:rsidRPr="0087126B">
        <w:rPr>
          <w:rFonts w:ascii="Times New Roman" w:hAnsi="Times New Roman" w:cs="Times New Roman"/>
          <w:i/>
        </w:rPr>
        <w:t>6</w:t>
      </w:r>
      <w:r w:rsidRPr="0087126B">
        <w:rPr>
          <w:rFonts w:ascii="Times New Roman" w:hAnsi="Times New Roman" w:cs="Times New Roman"/>
          <w:i/>
        </w:rPr>
        <w:t xml:space="preserve"> годов» дифференцированный нормативов отчислений в бюджет </w:t>
      </w:r>
      <w:r w:rsidR="00AC241A">
        <w:rPr>
          <w:rFonts w:ascii="Times New Roman" w:hAnsi="Times New Roman" w:cs="Times New Roman"/>
          <w:i/>
        </w:rPr>
        <w:t>Усть-Илгинского</w:t>
      </w:r>
      <w:r w:rsidRPr="0087126B">
        <w:rPr>
          <w:rFonts w:ascii="Times New Roman" w:hAnsi="Times New Roman" w:cs="Times New Roman"/>
          <w:i/>
        </w:rPr>
        <w:t xml:space="preserve"> муниципального образования от акцизов на дизельное топливо, на моторные масла для </w:t>
      </w:r>
      <w:r w:rsidRPr="00521AA6">
        <w:rPr>
          <w:rFonts w:ascii="Times New Roman" w:hAnsi="Times New Roman" w:cs="Times New Roman"/>
          <w:i/>
        </w:rPr>
        <w:t xml:space="preserve">дизельных и (или) карбюраторных (инжекторных) двигателей, на автомобильный бензин, на прямогонный бензин установлен </w:t>
      </w:r>
      <w:r w:rsidRPr="00521AA6">
        <w:rPr>
          <w:rFonts w:ascii="Times New Roman" w:hAnsi="Times New Roman" w:cs="Times New Roman"/>
          <w:b/>
          <w:i/>
          <w:u w:val="single"/>
        </w:rPr>
        <w:t>в размере 0,00</w:t>
      </w:r>
      <w:r w:rsidR="007748CA" w:rsidRPr="00521AA6">
        <w:rPr>
          <w:rFonts w:ascii="Times New Roman" w:hAnsi="Times New Roman" w:cs="Times New Roman"/>
          <w:b/>
          <w:i/>
          <w:u w:val="single"/>
        </w:rPr>
        <w:t>3</w:t>
      </w:r>
      <w:r w:rsidR="004766D2" w:rsidRPr="00521AA6">
        <w:rPr>
          <w:rFonts w:ascii="Times New Roman" w:hAnsi="Times New Roman" w:cs="Times New Roman"/>
          <w:b/>
          <w:i/>
          <w:u w:val="single"/>
        </w:rPr>
        <w:t>48</w:t>
      </w:r>
      <w:r w:rsidRPr="00521AA6">
        <w:rPr>
          <w:rFonts w:ascii="Times New Roman" w:hAnsi="Times New Roman" w:cs="Times New Roman"/>
          <w:b/>
          <w:i/>
          <w:u w:val="single"/>
        </w:rPr>
        <w:t>%</w:t>
      </w:r>
      <w:r w:rsidRPr="00521AA6">
        <w:rPr>
          <w:rFonts w:ascii="Times New Roman" w:hAnsi="Times New Roman" w:cs="Times New Roman"/>
          <w:bCs/>
          <w:i/>
        </w:rPr>
        <w:t>.</w:t>
      </w:r>
    </w:p>
    <w:p w:rsidR="00521AA6" w:rsidRPr="00521AA6" w:rsidRDefault="004766D2" w:rsidP="00521AA6">
      <w:pPr>
        <w:pStyle w:val="af2"/>
        <w:numPr>
          <w:ilvl w:val="0"/>
          <w:numId w:val="18"/>
        </w:numPr>
        <w:tabs>
          <w:tab w:val="left" w:pos="993"/>
        </w:tabs>
        <w:ind w:left="0" w:firstLine="709"/>
        <w:jc w:val="both"/>
        <w:rPr>
          <w:rFonts w:ascii="Times New Roman" w:hAnsi="Times New Roman" w:cs="Times New Roman"/>
          <w:i/>
        </w:rPr>
      </w:pPr>
      <w:r w:rsidRPr="00521AA6">
        <w:rPr>
          <w:rFonts w:ascii="Times New Roman" w:hAnsi="Times New Roman" w:cs="Times New Roman"/>
          <w:i/>
        </w:rPr>
        <w:t>В Реестре в столбце 2 таблицы в наименовании заголовка «Норматив зачислений в местный бюджет на 2021 год в %» не верно указан год «2021», следует изменить на «</w:t>
      </w:r>
      <w:r w:rsidRPr="00521AA6">
        <w:rPr>
          <w:rFonts w:ascii="Times New Roman" w:hAnsi="Times New Roman" w:cs="Times New Roman"/>
          <w:b/>
          <w:i/>
        </w:rPr>
        <w:t>2024</w:t>
      </w:r>
      <w:r w:rsidRPr="00521AA6">
        <w:rPr>
          <w:rFonts w:ascii="Times New Roman" w:hAnsi="Times New Roman" w:cs="Times New Roman"/>
          <w:i/>
        </w:rPr>
        <w:t>», либо исключить словосочетание «на 2021 год»;</w:t>
      </w:r>
    </w:p>
    <w:p w:rsidR="00521AA6" w:rsidRPr="00521AA6" w:rsidRDefault="00114499" w:rsidP="00521AA6">
      <w:pPr>
        <w:pStyle w:val="af2"/>
        <w:numPr>
          <w:ilvl w:val="0"/>
          <w:numId w:val="18"/>
        </w:numPr>
        <w:tabs>
          <w:tab w:val="left" w:pos="993"/>
        </w:tabs>
        <w:ind w:left="0" w:firstLine="709"/>
        <w:jc w:val="both"/>
        <w:rPr>
          <w:rFonts w:ascii="Times New Roman" w:hAnsi="Times New Roman" w:cs="Times New Roman"/>
          <w:i/>
        </w:rPr>
      </w:pPr>
      <w:r>
        <w:rPr>
          <w:rFonts w:ascii="Times New Roman" w:hAnsi="Times New Roman" w:cs="Times New Roman"/>
          <w:i/>
        </w:rPr>
        <w:t>В Реестре п</w:t>
      </w:r>
      <w:r w:rsidR="00521AA6" w:rsidRPr="00521AA6">
        <w:rPr>
          <w:rFonts w:ascii="Times New Roman" w:hAnsi="Times New Roman" w:cs="Times New Roman"/>
          <w:i/>
        </w:rPr>
        <w:t>о КБК 91020200000000000000</w:t>
      </w:r>
      <w:r w:rsidR="00521AA6" w:rsidRPr="00521AA6">
        <w:rPr>
          <w:rFonts w:ascii="Times New Roman" w:hAnsi="Times New Roman" w:cs="Times New Roman"/>
          <w:i/>
          <w:color w:val="000000"/>
        </w:rPr>
        <w:t xml:space="preserve"> «</w:t>
      </w:r>
      <w:r w:rsidR="00521AA6" w:rsidRPr="00521AA6">
        <w:rPr>
          <w:rFonts w:ascii="Times New Roman" w:hAnsi="Times New Roman" w:cs="Times New Roman"/>
          <w:bCs/>
          <w:i/>
        </w:rPr>
        <w:t>БЕЗВОЗМЕЗДНЫЕ ПОСТУПЛЕНИЯ ОТ ДРУГИХ БЮДЖЕТОВ БЮДЖЕТНОЙ СИСТЕМЫ РОССИЙСКОЙ ФЕДЕРАЦИИ</w:t>
      </w:r>
      <w:r w:rsidR="00521AA6" w:rsidRPr="00521AA6">
        <w:rPr>
          <w:rFonts w:ascii="Times New Roman" w:hAnsi="Times New Roman" w:cs="Times New Roman"/>
          <w:i/>
          <w:color w:val="000000"/>
        </w:rPr>
        <w:t>» на 2024 год не верно установлен показатель «4616,5», следует изменить на показатель «</w:t>
      </w:r>
      <w:r w:rsidR="00521AA6" w:rsidRPr="00521AA6">
        <w:rPr>
          <w:rFonts w:ascii="Times New Roman" w:hAnsi="Times New Roman" w:cs="Times New Roman"/>
          <w:b/>
          <w:i/>
          <w:color w:val="000000"/>
        </w:rPr>
        <w:t>6244,4</w:t>
      </w:r>
      <w:r w:rsidR="00521AA6" w:rsidRPr="00521AA6">
        <w:rPr>
          <w:rFonts w:ascii="Times New Roman" w:hAnsi="Times New Roman" w:cs="Times New Roman"/>
          <w:i/>
          <w:color w:val="000000"/>
        </w:rPr>
        <w:t>».</w:t>
      </w:r>
    </w:p>
    <w:p w:rsidR="00521AA6" w:rsidRPr="00521AA6" w:rsidRDefault="00114499" w:rsidP="00521AA6">
      <w:pPr>
        <w:pStyle w:val="af2"/>
        <w:numPr>
          <w:ilvl w:val="0"/>
          <w:numId w:val="18"/>
        </w:numPr>
        <w:tabs>
          <w:tab w:val="left" w:pos="993"/>
        </w:tabs>
        <w:ind w:left="0" w:firstLine="709"/>
        <w:jc w:val="both"/>
        <w:rPr>
          <w:rFonts w:ascii="Times New Roman" w:hAnsi="Times New Roman" w:cs="Times New Roman"/>
          <w:i/>
        </w:rPr>
      </w:pPr>
      <w:r>
        <w:rPr>
          <w:rFonts w:ascii="Times New Roman" w:hAnsi="Times New Roman" w:cs="Times New Roman"/>
          <w:i/>
        </w:rPr>
        <w:t>В Реестре п</w:t>
      </w:r>
      <w:r w:rsidRPr="00521AA6">
        <w:rPr>
          <w:rFonts w:ascii="Times New Roman" w:hAnsi="Times New Roman" w:cs="Times New Roman"/>
          <w:i/>
        </w:rPr>
        <w:t>о</w:t>
      </w:r>
      <w:r w:rsidR="00521AA6" w:rsidRPr="00521AA6">
        <w:rPr>
          <w:rFonts w:ascii="Times New Roman" w:hAnsi="Times New Roman" w:cs="Times New Roman"/>
          <w:i/>
        </w:rPr>
        <w:t xml:space="preserve"> КБК 91020216001100000150</w:t>
      </w:r>
      <w:r w:rsidR="00521AA6" w:rsidRPr="00521AA6">
        <w:rPr>
          <w:rFonts w:ascii="Times New Roman" w:hAnsi="Times New Roman" w:cs="Times New Roman"/>
          <w:i/>
          <w:color w:val="000000"/>
        </w:rPr>
        <w:t xml:space="preserve"> «</w:t>
      </w:r>
      <w:r w:rsidR="00521AA6" w:rsidRPr="00521AA6">
        <w:rPr>
          <w:rFonts w:ascii="Times New Roman" w:hAnsi="Times New Roman" w:cs="Times New Roman"/>
          <w:i/>
        </w:rPr>
        <w:t>Дотации бюджетам сельских поселений на выравнивание бюджетной обеспеченности из бюджетов муниципальных районов</w:t>
      </w:r>
      <w:r w:rsidR="00521AA6" w:rsidRPr="00521AA6">
        <w:rPr>
          <w:rFonts w:ascii="Times New Roman" w:hAnsi="Times New Roman" w:cs="Times New Roman"/>
          <w:i/>
          <w:color w:val="000000"/>
        </w:rPr>
        <w:t>» на 2024 год не верно установлен показатель «4272,4», следует изменить на показатель «</w:t>
      </w:r>
      <w:r w:rsidR="00521AA6" w:rsidRPr="00521AA6">
        <w:rPr>
          <w:rFonts w:ascii="Times New Roman" w:hAnsi="Times New Roman" w:cs="Times New Roman"/>
          <w:b/>
          <w:i/>
          <w:color w:val="000000"/>
        </w:rPr>
        <w:t>4720,8</w:t>
      </w:r>
      <w:r w:rsidR="00521AA6" w:rsidRPr="00521AA6">
        <w:rPr>
          <w:rFonts w:ascii="Times New Roman" w:hAnsi="Times New Roman" w:cs="Times New Roman"/>
          <w:i/>
          <w:color w:val="000000"/>
        </w:rPr>
        <w:t>».</w:t>
      </w:r>
    </w:p>
    <w:p w:rsidR="00521AA6" w:rsidRPr="00521AA6" w:rsidRDefault="00114499" w:rsidP="00521AA6">
      <w:pPr>
        <w:pStyle w:val="af2"/>
        <w:numPr>
          <w:ilvl w:val="0"/>
          <w:numId w:val="18"/>
        </w:numPr>
        <w:tabs>
          <w:tab w:val="left" w:pos="993"/>
        </w:tabs>
        <w:ind w:left="0" w:firstLine="709"/>
        <w:jc w:val="both"/>
        <w:rPr>
          <w:rFonts w:ascii="Times New Roman" w:hAnsi="Times New Roman" w:cs="Times New Roman"/>
          <w:i/>
        </w:rPr>
      </w:pPr>
      <w:r>
        <w:rPr>
          <w:rFonts w:ascii="Times New Roman" w:hAnsi="Times New Roman" w:cs="Times New Roman"/>
          <w:i/>
        </w:rPr>
        <w:t>В Реестре п</w:t>
      </w:r>
      <w:r w:rsidRPr="00521AA6">
        <w:rPr>
          <w:rFonts w:ascii="Times New Roman" w:hAnsi="Times New Roman" w:cs="Times New Roman"/>
          <w:i/>
        </w:rPr>
        <w:t xml:space="preserve">о </w:t>
      </w:r>
      <w:r w:rsidR="00521AA6" w:rsidRPr="00521AA6">
        <w:rPr>
          <w:rFonts w:ascii="Times New Roman" w:hAnsi="Times New Roman" w:cs="Times New Roman"/>
          <w:i/>
        </w:rPr>
        <w:t>КБК 91020235118100000150</w:t>
      </w:r>
      <w:r w:rsidR="00521AA6" w:rsidRPr="00521AA6">
        <w:rPr>
          <w:rFonts w:ascii="Times New Roman" w:hAnsi="Times New Roman" w:cs="Times New Roman"/>
          <w:i/>
          <w:color w:val="000000"/>
        </w:rPr>
        <w:t xml:space="preserve"> «</w:t>
      </w:r>
      <w:r w:rsidR="00521AA6" w:rsidRPr="00521AA6">
        <w:rPr>
          <w:rFonts w:ascii="Times New Roman" w:hAnsi="Times New Roman" w:cs="Times New Roman"/>
          <w:i/>
        </w:rPr>
        <w:t>Субвенции бюджетам сельских поселений на осуществление первичного воинского учета на территориях, где отсутствуют военные комиссариаты</w:t>
      </w:r>
      <w:r w:rsidR="00521AA6" w:rsidRPr="00521AA6">
        <w:rPr>
          <w:rFonts w:ascii="Times New Roman" w:hAnsi="Times New Roman" w:cs="Times New Roman"/>
          <w:i/>
          <w:color w:val="000000"/>
        </w:rPr>
        <w:t>» на 2026 год не верно установлен показатель «143,4», следует изменить на показатель «</w:t>
      </w:r>
      <w:r w:rsidR="00521AA6" w:rsidRPr="00521AA6">
        <w:rPr>
          <w:rFonts w:ascii="Times New Roman" w:hAnsi="Times New Roman" w:cs="Times New Roman"/>
          <w:b/>
          <w:i/>
          <w:color w:val="000000"/>
        </w:rPr>
        <w:t>182,7</w:t>
      </w:r>
      <w:r w:rsidR="00521AA6" w:rsidRPr="00521AA6">
        <w:rPr>
          <w:rFonts w:ascii="Times New Roman" w:hAnsi="Times New Roman" w:cs="Times New Roman"/>
          <w:i/>
          <w:color w:val="000000"/>
        </w:rPr>
        <w:t>».</w:t>
      </w:r>
    </w:p>
    <w:p w:rsidR="00521AA6" w:rsidRPr="00521AA6" w:rsidRDefault="00521AA6" w:rsidP="0087126B">
      <w:pPr>
        <w:pStyle w:val="af4"/>
        <w:numPr>
          <w:ilvl w:val="0"/>
          <w:numId w:val="18"/>
        </w:numPr>
        <w:tabs>
          <w:tab w:val="left" w:pos="993"/>
        </w:tabs>
        <w:spacing w:after="0" w:line="240" w:lineRule="auto"/>
        <w:ind w:left="0" w:firstLine="709"/>
        <w:jc w:val="both"/>
        <w:rPr>
          <w:rFonts w:ascii="Times New Roman" w:hAnsi="Times New Roman"/>
          <w:i/>
          <w:sz w:val="24"/>
          <w:szCs w:val="24"/>
        </w:rPr>
      </w:pPr>
      <w:r w:rsidRPr="00521AA6">
        <w:rPr>
          <w:rFonts w:ascii="Times New Roman" w:hAnsi="Times New Roman"/>
          <w:i/>
          <w:sz w:val="24"/>
          <w:szCs w:val="24"/>
        </w:rPr>
        <w:t>Итоговый показатель «16999,9» в столбце 8</w:t>
      </w:r>
      <w:r w:rsidR="00114499">
        <w:rPr>
          <w:rFonts w:ascii="Times New Roman" w:hAnsi="Times New Roman"/>
          <w:i/>
          <w:sz w:val="24"/>
          <w:szCs w:val="24"/>
        </w:rPr>
        <w:t xml:space="preserve"> Реестра </w:t>
      </w:r>
      <w:r w:rsidRPr="00521AA6">
        <w:rPr>
          <w:rFonts w:ascii="Times New Roman" w:hAnsi="Times New Roman"/>
          <w:i/>
          <w:sz w:val="24"/>
          <w:szCs w:val="24"/>
        </w:rPr>
        <w:t>установлен не верно, следует изменить на показатель «</w:t>
      </w:r>
      <w:r w:rsidRPr="00521AA6">
        <w:rPr>
          <w:rFonts w:ascii="Times New Roman" w:hAnsi="Times New Roman"/>
          <w:b/>
          <w:i/>
          <w:sz w:val="24"/>
          <w:szCs w:val="24"/>
        </w:rPr>
        <w:t>17002,9</w:t>
      </w:r>
      <w:r w:rsidRPr="00521AA6">
        <w:rPr>
          <w:rFonts w:ascii="Times New Roman" w:hAnsi="Times New Roman"/>
          <w:i/>
          <w:sz w:val="24"/>
          <w:szCs w:val="24"/>
        </w:rPr>
        <w:t>».</w:t>
      </w:r>
    </w:p>
    <w:p w:rsidR="00F036EE" w:rsidRPr="00905D0A" w:rsidRDefault="00F036EE" w:rsidP="00F036EE">
      <w:pPr>
        <w:spacing w:line="280" w:lineRule="exact"/>
        <w:ind w:firstLine="709"/>
        <w:jc w:val="both"/>
      </w:pPr>
      <w:r w:rsidRPr="00905D0A">
        <w:t xml:space="preserve">Прогноз социально-экономического развития </w:t>
      </w:r>
      <w:r w:rsidR="00AC241A" w:rsidRPr="00905D0A">
        <w:t>Усть-Илгинского</w:t>
      </w:r>
      <w:r w:rsidRPr="00905D0A">
        <w:t xml:space="preserve"> муниципального образования на 2024-2026 годы разработан на трехлетний период </w:t>
      </w:r>
      <w:r w:rsidRPr="00905D0A">
        <w:br/>
        <w:t xml:space="preserve">(п. 1 ст. 173 БК РФ) и представлен в виде приложения отдельных показателей развития </w:t>
      </w:r>
      <w:r w:rsidR="00A9698D" w:rsidRPr="00905D0A">
        <w:t>муниципального образования</w:t>
      </w:r>
      <w:r w:rsidR="00836E3C" w:rsidRPr="00905D0A">
        <w:t xml:space="preserve"> к постановлению администрации </w:t>
      </w:r>
      <w:r w:rsidR="00AC241A" w:rsidRPr="00905D0A">
        <w:t>Усть-Илгинского</w:t>
      </w:r>
      <w:r w:rsidR="00836E3C" w:rsidRPr="00905D0A">
        <w:t xml:space="preserve"> сельского поселения от </w:t>
      </w:r>
      <w:r w:rsidR="002F3872" w:rsidRPr="00905D0A">
        <w:t>01</w:t>
      </w:r>
      <w:r w:rsidR="00836E3C" w:rsidRPr="00905D0A">
        <w:t>.1</w:t>
      </w:r>
      <w:r w:rsidR="002F3872" w:rsidRPr="00905D0A">
        <w:t>1</w:t>
      </w:r>
      <w:r w:rsidR="00836E3C" w:rsidRPr="00905D0A">
        <w:t xml:space="preserve">.2023 № </w:t>
      </w:r>
      <w:r w:rsidR="00521AA6" w:rsidRPr="00905D0A">
        <w:t>38-од</w:t>
      </w:r>
      <w:r w:rsidRPr="00905D0A">
        <w:t xml:space="preserve">. </w:t>
      </w:r>
    </w:p>
    <w:p w:rsidR="003D28D3" w:rsidRPr="00905D0A" w:rsidRDefault="00F036EE" w:rsidP="00F036EE">
      <w:pPr>
        <w:spacing w:line="280" w:lineRule="exact"/>
        <w:ind w:firstLine="709"/>
        <w:jc w:val="both"/>
      </w:pPr>
      <w:r w:rsidRPr="00905D0A">
        <w:rPr>
          <w:bCs/>
        </w:rPr>
        <w:t>В соответствии с</w:t>
      </w:r>
      <w:r w:rsidRPr="00905D0A">
        <w:t xml:space="preserve"> п. 4 ст. 173 БК РФ представлена пояснительная записка к Прогнозу СЭР с обоснованием параметров прогноза. </w:t>
      </w:r>
    </w:p>
    <w:p w:rsidR="00AC05F8" w:rsidRDefault="003D28D3" w:rsidP="00AC05F8">
      <w:pPr>
        <w:spacing w:line="280" w:lineRule="exact"/>
        <w:ind w:firstLine="709"/>
        <w:jc w:val="both"/>
      </w:pPr>
      <w:r w:rsidRPr="00905D0A">
        <w:t>Согласно показателей Прогноза СЭР п</w:t>
      </w:r>
      <w:r w:rsidR="002255FC" w:rsidRPr="00905D0A">
        <w:t xml:space="preserve">о состоянию на 01.01.2023 года численность постоянного населения составила </w:t>
      </w:r>
      <w:r w:rsidR="00BF00EE">
        <w:t>94</w:t>
      </w:r>
      <w:r w:rsidR="002255FC" w:rsidRPr="00905D0A">
        <w:t xml:space="preserve"> человек</w:t>
      </w:r>
      <w:r w:rsidR="00BF00EE">
        <w:t>а</w:t>
      </w:r>
      <w:r w:rsidR="00AC05F8" w:rsidRPr="00905D0A">
        <w:t xml:space="preserve"> (</w:t>
      </w:r>
      <w:r w:rsidR="00BF00EE">
        <w:t>с. Усть-Илга – 86 чел., д. Грузновка – 8 чел.</w:t>
      </w:r>
      <w:r w:rsidR="00AC05F8" w:rsidRPr="00905D0A">
        <w:t>)</w:t>
      </w:r>
      <w:r w:rsidR="002255FC" w:rsidRPr="00905D0A">
        <w:t xml:space="preserve">, в том числе </w:t>
      </w:r>
      <w:r w:rsidR="00F76927" w:rsidRPr="00905D0A">
        <w:t xml:space="preserve">среднесписочная численность работников – </w:t>
      </w:r>
      <w:r w:rsidR="00AC05F8" w:rsidRPr="00905D0A">
        <w:t>42</w:t>
      </w:r>
      <w:r w:rsidR="00E872C3" w:rsidRPr="00905D0A">
        <w:t xml:space="preserve"> человека</w:t>
      </w:r>
      <w:r w:rsidR="00AC05F8" w:rsidRPr="00905D0A">
        <w:t>, пенсионеры по старости – 34 человека, получатели социальных пенсий – 13 человек.</w:t>
      </w:r>
    </w:p>
    <w:p w:rsidR="002255FC" w:rsidRPr="00F236D5" w:rsidRDefault="002255FC" w:rsidP="00F036EE">
      <w:pPr>
        <w:spacing w:line="280" w:lineRule="exact"/>
        <w:ind w:firstLine="709"/>
        <w:jc w:val="both"/>
        <w:rPr>
          <w:highlight w:val="yellow"/>
        </w:rPr>
      </w:pPr>
    </w:p>
    <w:p w:rsidR="00F036EE" w:rsidRPr="00905D0A" w:rsidRDefault="00F036EE" w:rsidP="00F036EE">
      <w:pPr>
        <w:spacing w:line="280" w:lineRule="exact"/>
        <w:ind w:firstLine="709"/>
        <w:jc w:val="both"/>
      </w:pPr>
      <w:r w:rsidRPr="00905D0A">
        <w:t>Значения основных показателей Прогноза</w:t>
      </w:r>
      <w:r w:rsidR="00A9698D" w:rsidRPr="00905D0A">
        <w:t xml:space="preserve"> СЭР</w:t>
      </w:r>
      <w:r w:rsidRPr="00905D0A">
        <w:t xml:space="preserve">, характеризующих качественные характеристики развития </w:t>
      </w:r>
      <w:r w:rsidR="00AC241A" w:rsidRPr="00905D0A">
        <w:rPr>
          <w:bCs/>
        </w:rPr>
        <w:t>Усть-Илгинского</w:t>
      </w:r>
      <w:r w:rsidRPr="00905D0A">
        <w:rPr>
          <w:bCs/>
        </w:rPr>
        <w:t xml:space="preserve"> </w:t>
      </w:r>
      <w:r w:rsidR="00A9698D" w:rsidRPr="00905D0A">
        <w:t>муниципального образования</w:t>
      </w:r>
      <w:r w:rsidRPr="00905D0A">
        <w:t>, его социально</w:t>
      </w:r>
      <w:r w:rsidR="003B56F5" w:rsidRPr="00905D0A">
        <w:t>-</w:t>
      </w:r>
      <w:r w:rsidRPr="00905D0A">
        <w:t>экономическое положение в 202</w:t>
      </w:r>
      <w:r w:rsidR="00387CF8" w:rsidRPr="00905D0A">
        <w:t>4-</w:t>
      </w:r>
      <w:r w:rsidRPr="00905D0A">
        <w:t>202</w:t>
      </w:r>
      <w:r w:rsidR="00387CF8" w:rsidRPr="00905D0A">
        <w:t xml:space="preserve">6 </w:t>
      </w:r>
      <w:r w:rsidRPr="00905D0A">
        <w:t>годах представлены в Таблице №1</w:t>
      </w:r>
      <w:r w:rsidR="00387CF8" w:rsidRPr="00905D0A">
        <w:t>.</w:t>
      </w:r>
    </w:p>
    <w:p w:rsidR="00F036EE" w:rsidRPr="00905D0A" w:rsidRDefault="00F036EE" w:rsidP="00F036EE">
      <w:pPr>
        <w:autoSpaceDE w:val="0"/>
        <w:autoSpaceDN w:val="0"/>
        <w:adjustRightInd w:val="0"/>
        <w:ind w:firstLine="709"/>
        <w:jc w:val="right"/>
        <w:rPr>
          <w:rFonts w:eastAsia="TimesNewRomanPSMT"/>
        </w:rPr>
      </w:pPr>
      <w:r w:rsidRPr="00905D0A">
        <w:rPr>
          <w:rFonts w:ascii="Arial" w:eastAsia="TimesNewRomanPSMT" w:hAnsi="Arial" w:cs="Arial"/>
        </w:rPr>
        <w:tab/>
      </w:r>
      <w:r w:rsidRPr="00905D0A">
        <w:rPr>
          <w:rFonts w:ascii="Arial" w:eastAsia="TimesNewRomanPSMT" w:hAnsi="Arial" w:cs="Arial"/>
        </w:rPr>
        <w:tab/>
      </w:r>
      <w:r w:rsidRPr="00905D0A">
        <w:rPr>
          <w:rFonts w:ascii="Arial" w:eastAsia="TimesNewRomanPSMT" w:hAnsi="Arial" w:cs="Arial"/>
        </w:rPr>
        <w:tab/>
      </w:r>
      <w:r w:rsidRPr="00905D0A">
        <w:rPr>
          <w:rFonts w:eastAsia="TimesNewRomanPSMT"/>
        </w:rPr>
        <w:t>Таблица №1</w:t>
      </w:r>
    </w:p>
    <w:tbl>
      <w:tblPr>
        <w:tblW w:w="4947" w:type="pct"/>
        <w:jc w:val="center"/>
        <w:tblLook w:val="0000" w:firstRow="0" w:lastRow="0" w:firstColumn="0" w:lastColumn="0" w:noHBand="0" w:noVBand="0"/>
      </w:tblPr>
      <w:tblGrid>
        <w:gridCol w:w="2857"/>
        <w:gridCol w:w="611"/>
        <w:gridCol w:w="1009"/>
        <w:gridCol w:w="1010"/>
        <w:gridCol w:w="1010"/>
        <w:gridCol w:w="1010"/>
        <w:gridCol w:w="1010"/>
        <w:gridCol w:w="1008"/>
      </w:tblGrid>
      <w:tr w:rsidR="00F036EE" w:rsidRPr="00905D0A" w:rsidTr="00905D0A">
        <w:trPr>
          <w:trHeight w:hRule="exact" w:val="227"/>
          <w:jc w:val="center"/>
        </w:trPr>
        <w:tc>
          <w:tcPr>
            <w:tcW w:w="1500" w:type="pct"/>
            <w:vMerge w:val="restart"/>
            <w:tcBorders>
              <w:top w:val="single" w:sz="4" w:space="0" w:color="auto"/>
              <w:left w:val="single" w:sz="4" w:space="0" w:color="auto"/>
              <w:right w:val="single" w:sz="4" w:space="0" w:color="auto"/>
            </w:tcBorders>
            <w:vAlign w:val="center"/>
          </w:tcPr>
          <w:p w:rsidR="00F036EE" w:rsidRPr="00905D0A" w:rsidRDefault="00F036EE" w:rsidP="00F036EE">
            <w:pPr>
              <w:autoSpaceDE w:val="0"/>
              <w:autoSpaceDN w:val="0"/>
              <w:adjustRightInd w:val="0"/>
              <w:jc w:val="center"/>
              <w:rPr>
                <w:rFonts w:eastAsia="TimesNewRomanPSMT"/>
                <w:sz w:val="20"/>
                <w:szCs w:val="20"/>
              </w:rPr>
            </w:pPr>
            <w:r w:rsidRPr="00905D0A">
              <w:rPr>
                <w:sz w:val="20"/>
                <w:szCs w:val="20"/>
              </w:rPr>
              <w:t>Наименование п</w:t>
            </w:r>
            <w:r w:rsidRPr="00905D0A">
              <w:rPr>
                <w:rFonts w:eastAsia="TimesNewRomanPSMT"/>
                <w:sz w:val="20"/>
                <w:szCs w:val="20"/>
              </w:rPr>
              <w:t>оказателя</w:t>
            </w:r>
          </w:p>
        </w:tc>
        <w:tc>
          <w:tcPr>
            <w:tcW w:w="321" w:type="pct"/>
            <w:vMerge w:val="restart"/>
            <w:tcBorders>
              <w:top w:val="single" w:sz="4" w:space="0" w:color="auto"/>
              <w:left w:val="single" w:sz="4" w:space="0" w:color="auto"/>
              <w:right w:val="single" w:sz="4" w:space="0" w:color="auto"/>
            </w:tcBorders>
            <w:vAlign w:val="bottom"/>
          </w:tcPr>
          <w:p w:rsidR="00F036EE" w:rsidRPr="00905D0A" w:rsidRDefault="00F036EE" w:rsidP="00F036EE">
            <w:pPr>
              <w:jc w:val="center"/>
              <w:rPr>
                <w:bCs/>
                <w:sz w:val="20"/>
                <w:szCs w:val="20"/>
              </w:rPr>
            </w:pPr>
            <w:r w:rsidRPr="00905D0A">
              <w:rPr>
                <w:bCs/>
                <w:sz w:val="20"/>
                <w:szCs w:val="20"/>
              </w:rPr>
              <w:t>Ед. изм.</w:t>
            </w:r>
          </w:p>
        </w:tc>
        <w:tc>
          <w:tcPr>
            <w:tcW w:w="530" w:type="pct"/>
            <w:tcBorders>
              <w:top w:val="single" w:sz="4" w:space="0" w:color="auto"/>
              <w:left w:val="single" w:sz="4" w:space="0" w:color="auto"/>
              <w:right w:val="single" w:sz="4" w:space="0" w:color="auto"/>
            </w:tcBorders>
          </w:tcPr>
          <w:p w:rsidR="00F036EE" w:rsidRPr="00905D0A" w:rsidRDefault="00F036EE" w:rsidP="00F036EE">
            <w:pPr>
              <w:jc w:val="center"/>
              <w:rPr>
                <w:bCs/>
                <w:sz w:val="20"/>
                <w:szCs w:val="20"/>
              </w:rPr>
            </w:pPr>
          </w:p>
        </w:tc>
        <w:tc>
          <w:tcPr>
            <w:tcW w:w="530" w:type="pct"/>
            <w:vMerge w:val="restart"/>
            <w:tcBorders>
              <w:top w:val="single" w:sz="4" w:space="0" w:color="auto"/>
              <w:left w:val="single" w:sz="4" w:space="0" w:color="auto"/>
              <w:right w:val="single" w:sz="4" w:space="0" w:color="auto"/>
            </w:tcBorders>
            <w:vAlign w:val="center"/>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2</w:t>
            </w:r>
            <w:r w:rsidRPr="00905D0A">
              <w:rPr>
                <w:bCs/>
                <w:sz w:val="20"/>
                <w:szCs w:val="20"/>
              </w:rPr>
              <w:t>г. факт</w:t>
            </w:r>
          </w:p>
        </w:tc>
        <w:tc>
          <w:tcPr>
            <w:tcW w:w="530" w:type="pct"/>
            <w:vMerge w:val="restart"/>
            <w:tcBorders>
              <w:top w:val="single" w:sz="4" w:space="0" w:color="auto"/>
              <w:left w:val="nil"/>
              <w:right w:val="single" w:sz="4" w:space="0" w:color="auto"/>
            </w:tcBorders>
            <w:noWrap/>
            <w:vAlign w:val="center"/>
          </w:tcPr>
          <w:p w:rsidR="00F036EE" w:rsidRPr="00905D0A" w:rsidRDefault="00F036EE" w:rsidP="00F036EE">
            <w:pPr>
              <w:jc w:val="center"/>
              <w:rPr>
                <w:bCs/>
                <w:sz w:val="20"/>
                <w:szCs w:val="20"/>
              </w:rPr>
            </w:pPr>
            <w:r w:rsidRPr="00905D0A">
              <w:rPr>
                <w:bCs/>
                <w:sz w:val="20"/>
                <w:szCs w:val="20"/>
              </w:rPr>
              <w:t>202</w:t>
            </w:r>
            <w:r w:rsidR="00387CF8" w:rsidRPr="00905D0A">
              <w:rPr>
                <w:bCs/>
                <w:sz w:val="20"/>
                <w:szCs w:val="20"/>
              </w:rPr>
              <w:t>3</w:t>
            </w:r>
            <w:r w:rsidRPr="00905D0A">
              <w:rPr>
                <w:bCs/>
                <w:sz w:val="20"/>
                <w:szCs w:val="20"/>
              </w:rPr>
              <w:t>г.</w:t>
            </w:r>
          </w:p>
          <w:p w:rsidR="00F036EE" w:rsidRPr="00905D0A" w:rsidRDefault="00F036EE" w:rsidP="00F036EE">
            <w:pPr>
              <w:jc w:val="center"/>
              <w:rPr>
                <w:bCs/>
                <w:sz w:val="20"/>
                <w:szCs w:val="20"/>
              </w:rPr>
            </w:pPr>
            <w:r w:rsidRPr="00905D0A">
              <w:rPr>
                <w:bCs/>
                <w:sz w:val="20"/>
                <w:szCs w:val="20"/>
              </w:rPr>
              <w:t>оценка</w:t>
            </w:r>
          </w:p>
        </w:tc>
        <w:tc>
          <w:tcPr>
            <w:tcW w:w="1590" w:type="pct"/>
            <w:gridSpan w:val="3"/>
            <w:tcBorders>
              <w:top w:val="single" w:sz="4" w:space="0" w:color="auto"/>
              <w:left w:val="nil"/>
              <w:bottom w:val="single" w:sz="4" w:space="0" w:color="auto"/>
              <w:right w:val="single" w:sz="4" w:space="0" w:color="auto"/>
            </w:tcBorders>
            <w:vAlign w:val="center"/>
          </w:tcPr>
          <w:p w:rsidR="00F036EE" w:rsidRPr="00905D0A" w:rsidRDefault="00F036EE" w:rsidP="00F036EE">
            <w:pPr>
              <w:jc w:val="center"/>
              <w:rPr>
                <w:bCs/>
                <w:sz w:val="20"/>
                <w:szCs w:val="20"/>
              </w:rPr>
            </w:pPr>
            <w:r w:rsidRPr="00905D0A">
              <w:rPr>
                <w:bCs/>
                <w:sz w:val="20"/>
                <w:szCs w:val="20"/>
              </w:rPr>
              <w:t>Прогноз на</w:t>
            </w:r>
          </w:p>
        </w:tc>
      </w:tr>
      <w:tr w:rsidR="00F036EE" w:rsidRPr="00905D0A" w:rsidTr="00905D0A">
        <w:trPr>
          <w:trHeight w:val="475"/>
          <w:jc w:val="center"/>
        </w:trPr>
        <w:tc>
          <w:tcPr>
            <w:tcW w:w="1500" w:type="pct"/>
            <w:vMerge/>
            <w:tcBorders>
              <w:left w:val="single" w:sz="4" w:space="0" w:color="auto"/>
              <w:bottom w:val="single" w:sz="4" w:space="0" w:color="auto"/>
              <w:right w:val="single" w:sz="4" w:space="0" w:color="auto"/>
            </w:tcBorders>
            <w:vAlign w:val="center"/>
          </w:tcPr>
          <w:p w:rsidR="00F036EE" w:rsidRPr="00905D0A" w:rsidRDefault="00F036EE" w:rsidP="00F036EE">
            <w:pPr>
              <w:autoSpaceDE w:val="0"/>
              <w:autoSpaceDN w:val="0"/>
              <w:adjustRightInd w:val="0"/>
              <w:jc w:val="center"/>
              <w:rPr>
                <w:rFonts w:eastAsia="TimesNewRomanPSMT"/>
                <w:sz w:val="20"/>
                <w:szCs w:val="20"/>
              </w:rPr>
            </w:pPr>
          </w:p>
        </w:tc>
        <w:tc>
          <w:tcPr>
            <w:tcW w:w="321" w:type="pct"/>
            <w:vMerge/>
            <w:tcBorders>
              <w:left w:val="single" w:sz="4" w:space="0" w:color="auto"/>
              <w:bottom w:val="single" w:sz="4" w:space="0" w:color="auto"/>
              <w:right w:val="single" w:sz="4" w:space="0" w:color="auto"/>
            </w:tcBorders>
            <w:vAlign w:val="center"/>
          </w:tcPr>
          <w:p w:rsidR="00F036EE" w:rsidRPr="00905D0A" w:rsidRDefault="00F036EE" w:rsidP="00F036EE">
            <w:pPr>
              <w:jc w:val="center"/>
              <w:rPr>
                <w:bCs/>
                <w:sz w:val="20"/>
                <w:szCs w:val="20"/>
              </w:rPr>
            </w:pPr>
          </w:p>
        </w:tc>
        <w:tc>
          <w:tcPr>
            <w:tcW w:w="530" w:type="pct"/>
            <w:tcBorders>
              <w:left w:val="single" w:sz="4" w:space="0" w:color="auto"/>
              <w:bottom w:val="single" w:sz="4" w:space="0" w:color="auto"/>
              <w:right w:val="single" w:sz="4" w:space="0" w:color="auto"/>
            </w:tcBorders>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1</w:t>
            </w:r>
            <w:r w:rsidRPr="00905D0A">
              <w:rPr>
                <w:bCs/>
                <w:sz w:val="20"/>
                <w:szCs w:val="20"/>
              </w:rPr>
              <w:t>г. факт</w:t>
            </w:r>
          </w:p>
        </w:tc>
        <w:tc>
          <w:tcPr>
            <w:tcW w:w="530" w:type="pct"/>
            <w:vMerge/>
            <w:tcBorders>
              <w:left w:val="single" w:sz="4" w:space="0" w:color="auto"/>
              <w:bottom w:val="single" w:sz="4" w:space="0" w:color="auto"/>
              <w:right w:val="single" w:sz="4" w:space="0" w:color="auto"/>
            </w:tcBorders>
            <w:vAlign w:val="center"/>
          </w:tcPr>
          <w:p w:rsidR="00F036EE" w:rsidRPr="00905D0A" w:rsidRDefault="00F036EE" w:rsidP="00F036EE">
            <w:pPr>
              <w:jc w:val="center"/>
              <w:rPr>
                <w:bCs/>
                <w:sz w:val="20"/>
                <w:szCs w:val="20"/>
              </w:rPr>
            </w:pPr>
          </w:p>
        </w:tc>
        <w:tc>
          <w:tcPr>
            <w:tcW w:w="530" w:type="pct"/>
            <w:vMerge/>
            <w:tcBorders>
              <w:left w:val="nil"/>
              <w:bottom w:val="single" w:sz="4" w:space="0" w:color="auto"/>
              <w:right w:val="single" w:sz="4" w:space="0" w:color="auto"/>
            </w:tcBorders>
            <w:noWrap/>
            <w:vAlign w:val="center"/>
          </w:tcPr>
          <w:p w:rsidR="00F036EE" w:rsidRPr="00905D0A" w:rsidRDefault="00F036EE" w:rsidP="00F036EE">
            <w:pPr>
              <w:jc w:val="center"/>
              <w:rPr>
                <w:bCs/>
                <w:sz w:val="20"/>
                <w:szCs w:val="20"/>
              </w:rPr>
            </w:pP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4</w:t>
            </w:r>
            <w:r w:rsidRPr="00905D0A">
              <w:rPr>
                <w:bCs/>
                <w:sz w:val="20"/>
                <w:szCs w:val="20"/>
              </w:rPr>
              <w:t>г.</w:t>
            </w: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5</w:t>
            </w:r>
            <w:r w:rsidRPr="00905D0A">
              <w:rPr>
                <w:bCs/>
                <w:sz w:val="20"/>
                <w:szCs w:val="20"/>
              </w:rPr>
              <w:t>г.</w:t>
            </w: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6</w:t>
            </w:r>
            <w:r w:rsidRPr="00905D0A">
              <w:rPr>
                <w:bCs/>
                <w:sz w:val="20"/>
                <w:szCs w:val="20"/>
              </w:rPr>
              <w:t>г.</w:t>
            </w:r>
          </w:p>
        </w:tc>
      </w:tr>
      <w:tr w:rsidR="00905D0A" w:rsidRPr="00905D0A" w:rsidTr="00905D0A">
        <w:trPr>
          <w:trHeight w:val="351"/>
          <w:jc w:val="center"/>
        </w:trPr>
        <w:tc>
          <w:tcPr>
            <w:tcW w:w="1500" w:type="pct"/>
            <w:tcBorders>
              <w:top w:val="single" w:sz="4" w:space="0" w:color="auto"/>
              <w:left w:val="single" w:sz="4" w:space="0" w:color="auto"/>
              <w:bottom w:val="single" w:sz="4" w:space="0" w:color="auto"/>
              <w:right w:val="single" w:sz="4" w:space="0" w:color="auto"/>
            </w:tcBorders>
          </w:tcPr>
          <w:p w:rsidR="00905D0A" w:rsidRPr="00905D0A" w:rsidRDefault="00905D0A" w:rsidP="00905D0A">
            <w:pPr>
              <w:autoSpaceDE w:val="0"/>
              <w:autoSpaceDN w:val="0"/>
              <w:adjustRightInd w:val="0"/>
              <w:jc w:val="center"/>
              <w:rPr>
                <w:rFonts w:eastAsia="TimesNewRomanPSMT"/>
                <w:sz w:val="20"/>
                <w:szCs w:val="20"/>
              </w:rPr>
            </w:pPr>
            <w:r w:rsidRPr="00905D0A">
              <w:rPr>
                <w:rFonts w:eastAsia="TimesNewRomanPSMT"/>
                <w:sz w:val="20"/>
                <w:szCs w:val="20"/>
              </w:rPr>
              <w:t>Выручка от реализации продукции товаров (работ, услуг)</w:t>
            </w:r>
          </w:p>
        </w:tc>
        <w:tc>
          <w:tcPr>
            <w:tcW w:w="321" w:type="pct"/>
            <w:tcBorders>
              <w:top w:val="single" w:sz="4" w:space="0" w:color="auto"/>
              <w:left w:val="single" w:sz="4" w:space="0" w:color="auto"/>
              <w:bottom w:val="single" w:sz="4" w:space="0" w:color="auto"/>
              <w:right w:val="single" w:sz="4" w:space="0" w:color="auto"/>
            </w:tcBorders>
            <w:vAlign w:val="center"/>
          </w:tcPr>
          <w:p w:rsidR="00905D0A" w:rsidRPr="00905D0A" w:rsidRDefault="00905D0A" w:rsidP="00905D0A">
            <w:pPr>
              <w:jc w:val="center"/>
              <w:rPr>
                <w:bCs/>
                <w:sz w:val="20"/>
                <w:szCs w:val="20"/>
              </w:rPr>
            </w:pPr>
            <w:r w:rsidRPr="00905D0A">
              <w:rPr>
                <w:bCs/>
                <w:sz w:val="20"/>
                <w:szCs w:val="20"/>
              </w:rPr>
              <w:t>млн. руб.</w:t>
            </w:r>
          </w:p>
        </w:tc>
        <w:tc>
          <w:tcPr>
            <w:tcW w:w="530" w:type="pct"/>
            <w:tcBorders>
              <w:top w:val="single" w:sz="4" w:space="0" w:color="auto"/>
              <w:left w:val="single" w:sz="4" w:space="0" w:color="auto"/>
              <w:bottom w:val="single" w:sz="4" w:space="0" w:color="auto"/>
              <w:right w:val="single" w:sz="4" w:space="0" w:color="auto"/>
            </w:tcBorders>
            <w:vAlign w:val="center"/>
          </w:tcPr>
          <w:p w:rsidR="00905D0A" w:rsidRPr="00905D0A" w:rsidRDefault="00905D0A" w:rsidP="00905D0A">
            <w:pPr>
              <w:jc w:val="center"/>
            </w:pPr>
            <w:r w:rsidRPr="00905D0A">
              <w:t>1,92</w:t>
            </w:r>
          </w:p>
        </w:tc>
        <w:tc>
          <w:tcPr>
            <w:tcW w:w="530" w:type="pct"/>
            <w:tcBorders>
              <w:top w:val="single" w:sz="4" w:space="0" w:color="auto"/>
              <w:left w:val="single" w:sz="4" w:space="0" w:color="auto"/>
              <w:bottom w:val="single" w:sz="4" w:space="0" w:color="auto"/>
              <w:right w:val="single" w:sz="4" w:space="0" w:color="auto"/>
            </w:tcBorders>
            <w:vAlign w:val="center"/>
          </w:tcPr>
          <w:p w:rsidR="00905D0A" w:rsidRPr="00905D0A" w:rsidRDefault="00905D0A" w:rsidP="00905D0A">
            <w:pPr>
              <w:jc w:val="center"/>
            </w:pPr>
            <w:r w:rsidRPr="00905D0A">
              <w:t>1,99</w:t>
            </w:r>
          </w:p>
        </w:tc>
        <w:tc>
          <w:tcPr>
            <w:tcW w:w="530" w:type="pct"/>
            <w:tcBorders>
              <w:top w:val="single" w:sz="4" w:space="0" w:color="auto"/>
              <w:left w:val="nil"/>
              <w:bottom w:val="single" w:sz="4" w:space="0" w:color="auto"/>
              <w:right w:val="single" w:sz="4" w:space="0" w:color="auto"/>
            </w:tcBorders>
            <w:noWrap/>
            <w:vAlign w:val="center"/>
          </w:tcPr>
          <w:p w:rsidR="00905D0A" w:rsidRPr="00905D0A" w:rsidRDefault="00905D0A" w:rsidP="00905D0A">
            <w:pPr>
              <w:jc w:val="center"/>
            </w:pPr>
            <w:r w:rsidRPr="00905D0A">
              <w:t>2,05</w:t>
            </w:r>
          </w:p>
        </w:tc>
        <w:tc>
          <w:tcPr>
            <w:tcW w:w="530" w:type="pct"/>
            <w:tcBorders>
              <w:top w:val="single" w:sz="4" w:space="0" w:color="auto"/>
              <w:left w:val="nil"/>
              <w:bottom w:val="single" w:sz="4" w:space="0" w:color="auto"/>
              <w:right w:val="single" w:sz="4" w:space="0" w:color="auto"/>
            </w:tcBorders>
            <w:vAlign w:val="center"/>
          </w:tcPr>
          <w:p w:rsidR="00905D0A" w:rsidRPr="00905D0A" w:rsidRDefault="00905D0A" w:rsidP="00905D0A">
            <w:pPr>
              <w:jc w:val="center"/>
            </w:pPr>
            <w:r w:rsidRPr="00905D0A">
              <w:t>2,12</w:t>
            </w:r>
          </w:p>
        </w:tc>
        <w:tc>
          <w:tcPr>
            <w:tcW w:w="530" w:type="pct"/>
            <w:tcBorders>
              <w:top w:val="single" w:sz="4" w:space="0" w:color="auto"/>
              <w:left w:val="nil"/>
              <w:bottom w:val="single" w:sz="4" w:space="0" w:color="auto"/>
              <w:right w:val="single" w:sz="4" w:space="0" w:color="auto"/>
            </w:tcBorders>
            <w:vAlign w:val="center"/>
          </w:tcPr>
          <w:p w:rsidR="00905D0A" w:rsidRPr="00905D0A" w:rsidRDefault="00905D0A" w:rsidP="00905D0A">
            <w:pPr>
              <w:jc w:val="center"/>
            </w:pPr>
            <w:r w:rsidRPr="00905D0A">
              <w:t>2,2</w:t>
            </w:r>
          </w:p>
        </w:tc>
        <w:tc>
          <w:tcPr>
            <w:tcW w:w="530" w:type="pct"/>
            <w:tcBorders>
              <w:top w:val="single" w:sz="4" w:space="0" w:color="auto"/>
              <w:left w:val="nil"/>
              <w:bottom w:val="single" w:sz="4" w:space="0" w:color="auto"/>
              <w:right w:val="single" w:sz="4" w:space="0" w:color="auto"/>
            </w:tcBorders>
            <w:vAlign w:val="center"/>
          </w:tcPr>
          <w:p w:rsidR="00905D0A" w:rsidRPr="00905D0A" w:rsidRDefault="00905D0A" w:rsidP="00905D0A">
            <w:pPr>
              <w:jc w:val="center"/>
            </w:pPr>
            <w:r w:rsidRPr="00905D0A">
              <w:t>2,25</w:t>
            </w:r>
          </w:p>
        </w:tc>
      </w:tr>
      <w:tr w:rsidR="00E872C3" w:rsidRPr="00905D0A" w:rsidTr="00905D0A">
        <w:trPr>
          <w:trHeight w:val="437"/>
          <w:jc w:val="center"/>
        </w:trPr>
        <w:tc>
          <w:tcPr>
            <w:tcW w:w="1500" w:type="pct"/>
            <w:tcBorders>
              <w:top w:val="single" w:sz="4" w:space="0" w:color="auto"/>
              <w:left w:val="single" w:sz="4" w:space="0" w:color="auto"/>
              <w:bottom w:val="single" w:sz="4" w:space="0" w:color="auto"/>
              <w:right w:val="single" w:sz="4" w:space="0" w:color="auto"/>
            </w:tcBorders>
          </w:tcPr>
          <w:p w:rsidR="00E872C3" w:rsidRPr="00905D0A" w:rsidRDefault="00E872C3" w:rsidP="00E872C3">
            <w:pPr>
              <w:autoSpaceDE w:val="0"/>
              <w:autoSpaceDN w:val="0"/>
              <w:adjustRightInd w:val="0"/>
              <w:jc w:val="center"/>
              <w:rPr>
                <w:rFonts w:eastAsia="TimesNewRomanPSMT"/>
                <w:sz w:val="20"/>
                <w:szCs w:val="20"/>
              </w:rPr>
            </w:pPr>
            <w:r w:rsidRPr="00905D0A">
              <w:rPr>
                <w:rFonts w:eastAsia="TimesNewRomanPSMT"/>
                <w:sz w:val="20"/>
                <w:szCs w:val="20"/>
              </w:rPr>
              <w:t>Среднесписочная численность работающих</w:t>
            </w:r>
          </w:p>
        </w:tc>
        <w:tc>
          <w:tcPr>
            <w:tcW w:w="321" w:type="pct"/>
            <w:tcBorders>
              <w:top w:val="single" w:sz="4" w:space="0" w:color="auto"/>
              <w:left w:val="single" w:sz="4" w:space="0" w:color="auto"/>
              <w:bottom w:val="single" w:sz="4" w:space="0" w:color="auto"/>
              <w:right w:val="single" w:sz="4" w:space="0" w:color="auto"/>
            </w:tcBorders>
            <w:vAlign w:val="bottom"/>
          </w:tcPr>
          <w:p w:rsidR="00E872C3" w:rsidRPr="00905D0A" w:rsidRDefault="00E872C3" w:rsidP="00E872C3">
            <w:pPr>
              <w:jc w:val="center"/>
              <w:rPr>
                <w:bCs/>
                <w:sz w:val="20"/>
                <w:szCs w:val="20"/>
              </w:rPr>
            </w:pPr>
            <w:r w:rsidRPr="00905D0A">
              <w:rPr>
                <w:iCs/>
                <w:sz w:val="20"/>
                <w:szCs w:val="20"/>
              </w:rPr>
              <w:t>чел.</w:t>
            </w:r>
          </w:p>
        </w:tc>
        <w:tc>
          <w:tcPr>
            <w:tcW w:w="530" w:type="pct"/>
            <w:tcBorders>
              <w:top w:val="single" w:sz="4" w:space="0" w:color="auto"/>
              <w:left w:val="single" w:sz="4" w:space="0" w:color="auto"/>
              <w:bottom w:val="single" w:sz="4" w:space="0" w:color="auto"/>
              <w:right w:val="single" w:sz="4" w:space="0" w:color="auto"/>
            </w:tcBorders>
            <w:vAlign w:val="center"/>
          </w:tcPr>
          <w:p w:rsidR="00E872C3" w:rsidRPr="00905D0A" w:rsidRDefault="00905D0A" w:rsidP="00905D0A">
            <w:pPr>
              <w:jc w:val="center"/>
              <w:rPr>
                <w:bCs/>
              </w:rPr>
            </w:pPr>
            <w:r w:rsidRPr="00905D0A">
              <w:rPr>
                <w:bCs/>
              </w:rPr>
              <w:t>45</w:t>
            </w:r>
          </w:p>
        </w:tc>
        <w:tc>
          <w:tcPr>
            <w:tcW w:w="530" w:type="pct"/>
            <w:tcBorders>
              <w:top w:val="single" w:sz="4" w:space="0" w:color="auto"/>
              <w:left w:val="single" w:sz="4" w:space="0" w:color="auto"/>
              <w:bottom w:val="single" w:sz="4" w:space="0" w:color="auto"/>
              <w:right w:val="single" w:sz="4" w:space="0" w:color="auto"/>
            </w:tcBorders>
            <w:vAlign w:val="center"/>
          </w:tcPr>
          <w:p w:rsidR="00E872C3" w:rsidRPr="00905D0A" w:rsidRDefault="00905D0A" w:rsidP="00905D0A">
            <w:pPr>
              <w:jc w:val="center"/>
              <w:rPr>
                <w:bCs/>
              </w:rPr>
            </w:pPr>
            <w:r w:rsidRPr="00905D0A">
              <w:rPr>
                <w:bCs/>
              </w:rPr>
              <w:t>42</w:t>
            </w:r>
          </w:p>
        </w:tc>
        <w:tc>
          <w:tcPr>
            <w:tcW w:w="530" w:type="pct"/>
            <w:tcBorders>
              <w:top w:val="single" w:sz="4" w:space="0" w:color="auto"/>
              <w:left w:val="nil"/>
              <w:bottom w:val="single" w:sz="4" w:space="0" w:color="auto"/>
              <w:right w:val="single" w:sz="4" w:space="0" w:color="auto"/>
            </w:tcBorders>
            <w:noWrap/>
            <w:vAlign w:val="center"/>
          </w:tcPr>
          <w:p w:rsidR="00E872C3" w:rsidRPr="00905D0A" w:rsidRDefault="00905D0A" w:rsidP="00905D0A">
            <w:pPr>
              <w:jc w:val="center"/>
              <w:rPr>
                <w:bCs/>
              </w:rPr>
            </w:pPr>
            <w:r w:rsidRPr="00905D0A">
              <w:rPr>
                <w:bCs/>
              </w:rPr>
              <w:t>42</w:t>
            </w:r>
          </w:p>
        </w:tc>
        <w:tc>
          <w:tcPr>
            <w:tcW w:w="530" w:type="pct"/>
            <w:tcBorders>
              <w:top w:val="single" w:sz="4" w:space="0" w:color="auto"/>
              <w:left w:val="nil"/>
              <w:bottom w:val="single" w:sz="4" w:space="0" w:color="auto"/>
              <w:right w:val="single" w:sz="4" w:space="0" w:color="auto"/>
            </w:tcBorders>
            <w:vAlign w:val="center"/>
          </w:tcPr>
          <w:p w:rsidR="00E872C3" w:rsidRPr="00905D0A" w:rsidRDefault="00905D0A" w:rsidP="00905D0A">
            <w:pPr>
              <w:jc w:val="center"/>
              <w:rPr>
                <w:bCs/>
              </w:rPr>
            </w:pPr>
            <w:r w:rsidRPr="00905D0A">
              <w:rPr>
                <w:bCs/>
              </w:rPr>
              <w:t>42</w:t>
            </w:r>
          </w:p>
        </w:tc>
        <w:tc>
          <w:tcPr>
            <w:tcW w:w="530" w:type="pct"/>
            <w:tcBorders>
              <w:top w:val="single" w:sz="4" w:space="0" w:color="auto"/>
              <w:left w:val="nil"/>
              <w:bottom w:val="single" w:sz="4" w:space="0" w:color="auto"/>
              <w:right w:val="single" w:sz="4" w:space="0" w:color="auto"/>
            </w:tcBorders>
            <w:vAlign w:val="center"/>
          </w:tcPr>
          <w:p w:rsidR="00E872C3" w:rsidRPr="00905D0A" w:rsidRDefault="00905D0A" w:rsidP="00905D0A">
            <w:pPr>
              <w:jc w:val="center"/>
              <w:rPr>
                <w:bCs/>
              </w:rPr>
            </w:pPr>
            <w:r w:rsidRPr="00905D0A">
              <w:rPr>
                <w:bCs/>
              </w:rPr>
              <w:t>42</w:t>
            </w:r>
          </w:p>
        </w:tc>
        <w:tc>
          <w:tcPr>
            <w:tcW w:w="530" w:type="pct"/>
            <w:tcBorders>
              <w:top w:val="single" w:sz="4" w:space="0" w:color="auto"/>
              <w:left w:val="nil"/>
              <w:bottom w:val="single" w:sz="4" w:space="0" w:color="auto"/>
              <w:right w:val="single" w:sz="4" w:space="0" w:color="auto"/>
            </w:tcBorders>
            <w:vAlign w:val="center"/>
          </w:tcPr>
          <w:p w:rsidR="00E872C3" w:rsidRPr="00905D0A" w:rsidRDefault="00905D0A" w:rsidP="00905D0A">
            <w:pPr>
              <w:jc w:val="center"/>
              <w:rPr>
                <w:bCs/>
              </w:rPr>
            </w:pPr>
            <w:r w:rsidRPr="00905D0A">
              <w:rPr>
                <w:bCs/>
              </w:rPr>
              <w:t>42</w:t>
            </w:r>
          </w:p>
        </w:tc>
      </w:tr>
      <w:tr w:rsidR="00905D0A" w:rsidRPr="00F236D5" w:rsidTr="00905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00" w:type="pct"/>
            <w:vAlign w:val="center"/>
          </w:tcPr>
          <w:p w:rsidR="00905D0A" w:rsidRPr="00905D0A" w:rsidRDefault="00905D0A" w:rsidP="00905D0A">
            <w:pPr>
              <w:autoSpaceDE w:val="0"/>
              <w:autoSpaceDN w:val="0"/>
              <w:adjustRightInd w:val="0"/>
              <w:jc w:val="center"/>
              <w:rPr>
                <w:rFonts w:eastAsia="TimesNewRomanPSMT"/>
                <w:sz w:val="20"/>
                <w:szCs w:val="20"/>
              </w:rPr>
            </w:pPr>
            <w:r w:rsidRPr="00905D0A">
              <w:rPr>
                <w:rFonts w:eastAsia="TimesNewRomanPSMT"/>
                <w:sz w:val="20"/>
                <w:szCs w:val="20"/>
              </w:rPr>
              <w:t>Фонд оплаты труда</w:t>
            </w:r>
          </w:p>
        </w:tc>
        <w:tc>
          <w:tcPr>
            <w:tcW w:w="321" w:type="pct"/>
            <w:vAlign w:val="center"/>
          </w:tcPr>
          <w:p w:rsidR="00905D0A" w:rsidRPr="00905D0A" w:rsidRDefault="00905D0A" w:rsidP="00905D0A">
            <w:pPr>
              <w:jc w:val="center"/>
              <w:rPr>
                <w:bCs/>
                <w:sz w:val="20"/>
                <w:szCs w:val="20"/>
              </w:rPr>
            </w:pPr>
            <w:r w:rsidRPr="00905D0A">
              <w:rPr>
                <w:bCs/>
                <w:sz w:val="20"/>
                <w:szCs w:val="20"/>
              </w:rPr>
              <w:t>млн. руб.</w:t>
            </w:r>
          </w:p>
        </w:tc>
        <w:tc>
          <w:tcPr>
            <w:tcW w:w="530" w:type="pct"/>
            <w:vAlign w:val="center"/>
          </w:tcPr>
          <w:p w:rsidR="00905D0A" w:rsidRPr="00905D0A" w:rsidRDefault="00905D0A" w:rsidP="00905D0A">
            <w:pPr>
              <w:jc w:val="center"/>
            </w:pPr>
            <w:r w:rsidRPr="00905D0A">
              <w:t>17,603</w:t>
            </w:r>
          </w:p>
        </w:tc>
        <w:tc>
          <w:tcPr>
            <w:tcW w:w="530" w:type="pct"/>
            <w:vAlign w:val="center"/>
          </w:tcPr>
          <w:p w:rsidR="00905D0A" w:rsidRPr="00905D0A" w:rsidRDefault="00905D0A" w:rsidP="00905D0A">
            <w:pPr>
              <w:jc w:val="center"/>
            </w:pPr>
            <w:r w:rsidRPr="00905D0A">
              <w:t>19,267</w:t>
            </w:r>
          </w:p>
        </w:tc>
        <w:tc>
          <w:tcPr>
            <w:tcW w:w="530" w:type="pct"/>
            <w:vAlign w:val="center"/>
          </w:tcPr>
          <w:p w:rsidR="00905D0A" w:rsidRPr="00905D0A" w:rsidRDefault="00905D0A" w:rsidP="00905D0A">
            <w:pPr>
              <w:jc w:val="center"/>
            </w:pPr>
            <w:r w:rsidRPr="00905D0A">
              <w:t>20,027</w:t>
            </w:r>
          </w:p>
        </w:tc>
        <w:tc>
          <w:tcPr>
            <w:tcW w:w="530" w:type="pct"/>
            <w:vAlign w:val="center"/>
          </w:tcPr>
          <w:p w:rsidR="00905D0A" w:rsidRPr="00905D0A" w:rsidRDefault="00905D0A" w:rsidP="00905D0A">
            <w:pPr>
              <w:jc w:val="center"/>
            </w:pPr>
            <w:r w:rsidRPr="00905D0A">
              <w:t>21,6</w:t>
            </w:r>
          </w:p>
        </w:tc>
        <w:tc>
          <w:tcPr>
            <w:tcW w:w="530" w:type="pct"/>
            <w:vAlign w:val="center"/>
          </w:tcPr>
          <w:p w:rsidR="00905D0A" w:rsidRPr="00905D0A" w:rsidRDefault="00905D0A" w:rsidP="00905D0A">
            <w:pPr>
              <w:jc w:val="center"/>
            </w:pPr>
            <w:r w:rsidRPr="00905D0A">
              <w:t>22,573</w:t>
            </w:r>
          </w:p>
        </w:tc>
        <w:tc>
          <w:tcPr>
            <w:tcW w:w="530" w:type="pct"/>
            <w:vAlign w:val="center"/>
          </w:tcPr>
          <w:p w:rsidR="00905D0A" w:rsidRPr="00905D0A" w:rsidRDefault="00905D0A" w:rsidP="00905D0A">
            <w:pPr>
              <w:jc w:val="center"/>
            </w:pPr>
            <w:r w:rsidRPr="00905D0A">
              <w:t>24,847</w:t>
            </w:r>
          </w:p>
        </w:tc>
      </w:tr>
    </w:tbl>
    <w:p w:rsidR="00F036EE" w:rsidRPr="00F236D5" w:rsidRDefault="00F036EE" w:rsidP="00F036EE">
      <w:pPr>
        <w:autoSpaceDE w:val="0"/>
        <w:autoSpaceDN w:val="0"/>
        <w:adjustRightInd w:val="0"/>
        <w:ind w:firstLine="709"/>
        <w:jc w:val="both"/>
        <w:rPr>
          <w:rFonts w:eastAsia="TimesNewRomanPSMT"/>
          <w:sz w:val="16"/>
          <w:szCs w:val="16"/>
          <w:highlight w:val="yellow"/>
        </w:rPr>
      </w:pPr>
    </w:p>
    <w:p w:rsidR="00F036EE" w:rsidRPr="0033220F" w:rsidRDefault="00F036EE" w:rsidP="00F036EE">
      <w:pPr>
        <w:autoSpaceDE w:val="0"/>
        <w:autoSpaceDN w:val="0"/>
        <w:adjustRightInd w:val="0"/>
        <w:ind w:firstLine="709"/>
        <w:jc w:val="both"/>
        <w:rPr>
          <w:rFonts w:eastAsia="TimesNewRomanPSMT"/>
        </w:rPr>
      </w:pPr>
      <w:r w:rsidRPr="0033220F">
        <w:rPr>
          <w:rFonts w:eastAsia="TimesNewRomanPSMT"/>
        </w:rPr>
        <w:t>Из привед</w:t>
      </w:r>
      <w:r w:rsidR="003F3E77" w:rsidRPr="0033220F">
        <w:rPr>
          <w:rFonts w:eastAsia="TimesNewRomanPSMT"/>
        </w:rPr>
        <w:t>е</w:t>
      </w:r>
      <w:r w:rsidRPr="0033220F">
        <w:rPr>
          <w:rFonts w:eastAsia="TimesNewRomanPSMT"/>
        </w:rPr>
        <w:t>нных данных видно, что в бюджете поселения наблюдается следующая динамика:</w:t>
      </w:r>
    </w:p>
    <w:p w:rsidR="00F036EE" w:rsidRPr="0033220F"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t>объем выручки от реализации продукции товаров (работ, услуг) в 202</w:t>
      </w:r>
      <w:r w:rsidR="004D0482"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году составит </w:t>
      </w:r>
      <w:r w:rsidR="003463C1" w:rsidRPr="0033220F">
        <w:rPr>
          <w:rFonts w:ascii="Times New Roman" w:eastAsia="TimesNewRomanPSMT" w:hAnsi="Times New Roman"/>
          <w:sz w:val="24"/>
          <w:szCs w:val="24"/>
        </w:rPr>
        <w:t>103</w:t>
      </w:r>
      <w:r w:rsidRPr="0033220F">
        <w:rPr>
          <w:rFonts w:ascii="Times New Roman" w:eastAsia="TimesNewRomanPSMT" w:hAnsi="Times New Roman"/>
          <w:sz w:val="24"/>
          <w:szCs w:val="24"/>
        </w:rPr>
        <w:t>% к уровню 202</w:t>
      </w:r>
      <w:r w:rsidR="004D0482" w:rsidRPr="0033220F">
        <w:rPr>
          <w:rFonts w:ascii="Times New Roman" w:eastAsia="TimesNewRomanPSMT" w:hAnsi="Times New Roman"/>
          <w:sz w:val="24"/>
          <w:szCs w:val="24"/>
        </w:rPr>
        <w:t>2</w:t>
      </w:r>
      <w:r w:rsidRPr="0033220F">
        <w:rPr>
          <w:rFonts w:ascii="Times New Roman" w:eastAsia="TimesNewRomanPSMT" w:hAnsi="Times New Roman"/>
          <w:sz w:val="24"/>
          <w:szCs w:val="24"/>
        </w:rPr>
        <w:t xml:space="preserve"> года с последующим ростом в 202</w:t>
      </w:r>
      <w:r w:rsidR="004D0482" w:rsidRPr="0033220F">
        <w:rPr>
          <w:rFonts w:ascii="Times New Roman" w:eastAsia="TimesNewRomanPSMT" w:hAnsi="Times New Roman"/>
          <w:sz w:val="24"/>
          <w:szCs w:val="24"/>
        </w:rPr>
        <w:t>4</w:t>
      </w:r>
      <w:r w:rsidR="00E872C3" w:rsidRPr="0033220F">
        <w:rPr>
          <w:rFonts w:ascii="Times New Roman" w:eastAsia="TimesNewRomanPSMT" w:hAnsi="Times New Roman"/>
          <w:sz w:val="24"/>
          <w:szCs w:val="24"/>
        </w:rPr>
        <w:t>-2026</w:t>
      </w:r>
      <w:r w:rsidRPr="0033220F">
        <w:rPr>
          <w:rFonts w:ascii="Times New Roman" w:eastAsia="TimesNewRomanPSMT" w:hAnsi="Times New Roman"/>
          <w:sz w:val="24"/>
          <w:szCs w:val="24"/>
        </w:rPr>
        <w:t xml:space="preserve"> год</w:t>
      </w:r>
      <w:r w:rsidR="00E872C3" w:rsidRPr="0033220F">
        <w:rPr>
          <w:rFonts w:ascii="Times New Roman" w:eastAsia="TimesNewRomanPSMT" w:hAnsi="Times New Roman"/>
          <w:sz w:val="24"/>
          <w:szCs w:val="24"/>
        </w:rPr>
        <w:t>ах</w:t>
      </w:r>
      <w:r w:rsidRPr="0033220F">
        <w:rPr>
          <w:rFonts w:ascii="Times New Roman" w:eastAsia="TimesNewRomanPSMT" w:hAnsi="Times New Roman"/>
          <w:sz w:val="24"/>
          <w:szCs w:val="24"/>
        </w:rPr>
        <w:t xml:space="preserve"> на </w:t>
      </w:r>
      <w:r w:rsidR="003463C1" w:rsidRPr="0033220F">
        <w:rPr>
          <w:rFonts w:ascii="Times New Roman" w:eastAsia="TimesNewRomanPSMT" w:hAnsi="Times New Roman"/>
          <w:sz w:val="24"/>
          <w:szCs w:val="24"/>
        </w:rPr>
        <w:t>3,4</w:t>
      </w:r>
      <w:r w:rsidR="00E872C3" w:rsidRPr="0033220F">
        <w:rPr>
          <w:rFonts w:ascii="Times New Roman" w:eastAsia="TimesNewRomanPSMT" w:hAnsi="Times New Roman"/>
          <w:sz w:val="24"/>
          <w:szCs w:val="24"/>
        </w:rPr>
        <w:t>%</w:t>
      </w:r>
      <w:r w:rsidR="003463C1" w:rsidRPr="0033220F">
        <w:rPr>
          <w:rFonts w:ascii="Times New Roman" w:eastAsia="TimesNewRomanPSMT" w:hAnsi="Times New Roman"/>
          <w:sz w:val="24"/>
          <w:szCs w:val="24"/>
        </w:rPr>
        <w:t>, 3,8%, 2,3%, соответственно</w:t>
      </w:r>
      <w:r w:rsidRPr="0033220F">
        <w:rPr>
          <w:rFonts w:ascii="Times New Roman" w:eastAsia="TimesNewRomanPSMT" w:hAnsi="Times New Roman"/>
          <w:sz w:val="24"/>
          <w:szCs w:val="24"/>
        </w:rPr>
        <w:t>;</w:t>
      </w:r>
    </w:p>
    <w:p w:rsidR="00CE19C1" w:rsidRPr="0033220F" w:rsidRDefault="00F036EE" w:rsidP="00CE19C1">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t xml:space="preserve">по прогнозным оценкам </w:t>
      </w:r>
      <w:r w:rsidR="00CE19C1" w:rsidRPr="0033220F">
        <w:rPr>
          <w:rFonts w:ascii="Times New Roman" w:eastAsia="TimesNewRomanPSMT" w:hAnsi="Times New Roman"/>
          <w:sz w:val="24"/>
          <w:szCs w:val="24"/>
        </w:rPr>
        <w:t xml:space="preserve">рост </w:t>
      </w:r>
      <w:r w:rsidRPr="0033220F">
        <w:rPr>
          <w:rFonts w:ascii="Times New Roman" w:eastAsia="TimesNewRomanPSMT" w:hAnsi="Times New Roman"/>
          <w:sz w:val="24"/>
          <w:szCs w:val="24"/>
        </w:rPr>
        <w:t>фонд</w:t>
      </w:r>
      <w:r w:rsidR="00CE19C1" w:rsidRPr="0033220F">
        <w:rPr>
          <w:rFonts w:ascii="Times New Roman" w:eastAsia="TimesNewRomanPSMT" w:hAnsi="Times New Roman"/>
          <w:sz w:val="24"/>
          <w:szCs w:val="24"/>
        </w:rPr>
        <w:t>а</w:t>
      </w:r>
      <w:r w:rsidRPr="0033220F">
        <w:rPr>
          <w:rFonts w:ascii="Times New Roman" w:eastAsia="TimesNewRomanPSMT" w:hAnsi="Times New Roman"/>
          <w:sz w:val="24"/>
          <w:szCs w:val="24"/>
        </w:rPr>
        <w:t xml:space="preserve"> оплаты труда в 202</w:t>
      </w:r>
      <w:r w:rsidR="00CE19C1"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году составит </w:t>
      </w:r>
      <w:r w:rsidR="003463C1" w:rsidRPr="0033220F">
        <w:rPr>
          <w:rFonts w:ascii="Times New Roman" w:eastAsia="TimesNewRomanPSMT" w:hAnsi="Times New Roman"/>
          <w:sz w:val="24"/>
          <w:szCs w:val="24"/>
        </w:rPr>
        <w:t>103,9</w:t>
      </w:r>
      <w:r w:rsidRPr="0033220F">
        <w:rPr>
          <w:rFonts w:ascii="Times New Roman" w:eastAsia="TimesNewRomanPSMT" w:hAnsi="Times New Roman"/>
          <w:sz w:val="24"/>
          <w:szCs w:val="24"/>
        </w:rPr>
        <w:t>% к уровню 202</w:t>
      </w:r>
      <w:r w:rsidR="00CE19C1" w:rsidRPr="0033220F">
        <w:rPr>
          <w:rFonts w:ascii="Times New Roman" w:eastAsia="TimesNewRomanPSMT" w:hAnsi="Times New Roman"/>
          <w:sz w:val="24"/>
          <w:szCs w:val="24"/>
        </w:rPr>
        <w:t>2</w:t>
      </w:r>
      <w:r w:rsidRPr="0033220F">
        <w:rPr>
          <w:rFonts w:ascii="Times New Roman" w:eastAsia="TimesNewRomanPSMT" w:hAnsi="Times New Roman"/>
          <w:sz w:val="24"/>
          <w:szCs w:val="24"/>
        </w:rPr>
        <w:t xml:space="preserve"> года</w:t>
      </w:r>
      <w:r w:rsidR="00CE19C1" w:rsidRPr="0033220F">
        <w:rPr>
          <w:rFonts w:ascii="Times New Roman" w:eastAsia="TimesNewRomanPSMT" w:hAnsi="Times New Roman"/>
          <w:sz w:val="24"/>
          <w:szCs w:val="24"/>
        </w:rPr>
        <w:t>,</w:t>
      </w:r>
      <w:r w:rsidRPr="0033220F">
        <w:rPr>
          <w:rFonts w:ascii="Times New Roman" w:eastAsia="TimesNewRomanPSMT" w:hAnsi="Times New Roman"/>
          <w:sz w:val="24"/>
          <w:szCs w:val="24"/>
        </w:rPr>
        <w:t xml:space="preserve"> </w:t>
      </w:r>
      <w:r w:rsidR="00CE19C1" w:rsidRPr="0033220F">
        <w:rPr>
          <w:rFonts w:ascii="Times New Roman" w:eastAsia="TimesNewRomanPSMT" w:hAnsi="Times New Roman"/>
          <w:sz w:val="24"/>
          <w:szCs w:val="24"/>
        </w:rPr>
        <w:t xml:space="preserve">с последующим ростом в 2024 году на </w:t>
      </w:r>
      <w:r w:rsidR="003463C1" w:rsidRPr="0033220F">
        <w:rPr>
          <w:rFonts w:ascii="Times New Roman" w:eastAsia="TimesNewRomanPSMT" w:hAnsi="Times New Roman"/>
          <w:sz w:val="24"/>
          <w:szCs w:val="24"/>
        </w:rPr>
        <w:t>7,8</w:t>
      </w:r>
      <w:r w:rsidR="00CE19C1" w:rsidRPr="0033220F">
        <w:rPr>
          <w:rFonts w:ascii="Times New Roman" w:eastAsia="TimesNewRomanPSMT" w:hAnsi="Times New Roman"/>
          <w:sz w:val="24"/>
          <w:szCs w:val="24"/>
        </w:rPr>
        <w:t xml:space="preserve">%, в плановом периоде 2025 и 2026 годов – на </w:t>
      </w:r>
      <w:r w:rsidR="003463C1" w:rsidRPr="0033220F">
        <w:rPr>
          <w:rFonts w:ascii="Times New Roman" w:eastAsia="TimesNewRomanPSMT" w:hAnsi="Times New Roman"/>
          <w:sz w:val="24"/>
          <w:szCs w:val="24"/>
        </w:rPr>
        <w:t>4,5</w:t>
      </w:r>
      <w:r w:rsidR="00CE19C1" w:rsidRPr="0033220F">
        <w:rPr>
          <w:rFonts w:ascii="Times New Roman" w:eastAsia="TimesNewRomanPSMT" w:hAnsi="Times New Roman"/>
          <w:sz w:val="24"/>
          <w:szCs w:val="24"/>
        </w:rPr>
        <w:t xml:space="preserve">% и </w:t>
      </w:r>
      <w:r w:rsidR="003463C1" w:rsidRPr="0033220F">
        <w:rPr>
          <w:rFonts w:ascii="Times New Roman" w:eastAsia="TimesNewRomanPSMT" w:hAnsi="Times New Roman"/>
          <w:sz w:val="24"/>
          <w:szCs w:val="24"/>
        </w:rPr>
        <w:t>10,1</w:t>
      </w:r>
      <w:r w:rsidR="00CE19C1" w:rsidRPr="0033220F">
        <w:rPr>
          <w:rFonts w:ascii="Times New Roman" w:eastAsia="TimesNewRomanPSMT" w:hAnsi="Times New Roman"/>
          <w:sz w:val="24"/>
          <w:szCs w:val="24"/>
        </w:rPr>
        <w:t>% соответственно;</w:t>
      </w:r>
    </w:p>
    <w:p w:rsidR="00F036EE" w:rsidRPr="0033220F"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t xml:space="preserve">среднесписочная численность работающего населения </w:t>
      </w:r>
      <w:r w:rsidR="00CE19C1" w:rsidRPr="0033220F">
        <w:rPr>
          <w:rFonts w:ascii="Times New Roman" w:eastAsia="TimesNewRomanPSMT" w:hAnsi="Times New Roman"/>
          <w:sz w:val="24"/>
          <w:szCs w:val="24"/>
        </w:rPr>
        <w:t>в</w:t>
      </w:r>
      <w:r w:rsidRPr="0033220F">
        <w:rPr>
          <w:rFonts w:ascii="Times New Roman" w:eastAsia="TimesNewRomanPSMT" w:hAnsi="Times New Roman"/>
          <w:sz w:val="24"/>
          <w:szCs w:val="24"/>
        </w:rPr>
        <w:t xml:space="preserve"> 202</w:t>
      </w:r>
      <w:r w:rsidR="00CE19C1"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w:t>
      </w:r>
      <w:r w:rsidR="00CE19C1" w:rsidRPr="0033220F">
        <w:rPr>
          <w:rFonts w:ascii="Times New Roman" w:eastAsia="TimesNewRomanPSMT" w:hAnsi="Times New Roman"/>
          <w:sz w:val="24"/>
          <w:szCs w:val="24"/>
        </w:rPr>
        <w:t>у</w:t>
      </w:r>
      <w:r w:rsidRPr="0033220F">
        <w:rPr>
          <w:rFonts w:ascii="Times New Roman" w:eastAsia="TimesNewRomanPSMT" w:hAnsi="Times New Roman"/>
          <w:sz w:val="24"/>
          <w:szCs w:val="24"/>
        </w:rPr>
        <w:t xml:space="preserve"> ожидается на уровне </w:t>
      </w:r>
      <w:r w:rsidR="0033220F" w:rsidRPr="0033220F">
        <w:rPr>
          <w:rFonts w:ascii="Times New Roman" w:hAnsi="Times New Roman"/>
          <w:bCs/>
          <w:sz w:val="24"/>
          <w:szCs w:val="24"/>
        </w:rPr>
        <w:t>42</w:t>
      </w:r>
      <w:r w:rsidRPr="0033220F">
        <w:rPr>
          <w:rFonts w:ascii="Times New Roman" w:hAnsi="Times New Roman"/>
          <w:bCs/>
          <w:sz w:val="24"/>
          <w:szCs w:val="24"/>
        </w:rPr>
        <w:t xml:space="preserve"> чел</w:t>
      </w:r>
      <w:r w:rsidR="0014683F" w:rsidRPr="0033220F">
        <w:rPr>
          <w:rFonts w:ascii="Times New Roman" w:hAnsi="Times New Roman"/>
          <w:bCs/>
          <w:sz w:val="24"/>
          <w:szCs w:val="24"/>
        </w:rPr>
        <w:t>.,</w:t>
      </w:r>
      <w:r w:rsidRPr="0033220F">
        <w:rPr>
          <w:rFonts w:ascii="Times New Roman" w:hAnsi="Times New Roman"/>
          <w:bCs/>
          <w:sz w:val="24"/>
          <w:szCs w:val="24"/>
        </w:rPr>
        <w:t xml:space="preserve"> </w:t>
      </w:r>
      <w:r w:rsidR="0014683F" w:rsidRPr="0033220F">
        <w:rPr>
          <w:rFonts w:ascii="Times New Roman" w:hAnsi="Times New Roman"/>
          <w:bCs/>
          <w:sz w:val="24"/>
          <w:szCs w:val="24"/>
        </w:rPr>
        <w:t>изменение</w:t>
      </w:r>
      <w:r w:rsidRPr="0033220F">
        <w:rPr>
          <w:rFonts w:ascii="Times New Roman" w:hAnsi="Times New Roman"/>
          <w:bCs/>
          <w:sz w:val="24"/>
          <w:szCs w:val="24"/>
        </w:rPr>
        <w:t xml:space="preserve"> численности </w:t>
      </w:r>
      <w:r w:rsidR="0014683F" w:rsidRPr="0033220F">
        <w:rPr>
          <w:rFonts w:ascii="Times New Roman" w:hAnsi="Times New Roman"/>
          <w:bCs/>
          <w:sz w:val="24"/>
          <w:szCs w:val="24"/>
        </w:rPr>
        <w:t>в 2024 году и плановом периоде 2025 и 2026 годов к уровню 2023 года не прогнозируется</w:t>
      </w:r>
      <w:r w:rsidRPr="0033220F">
        <w:rPr>
          <w:rFonts w:ascii="Times New Roman" w:hAnsi="Times New Roman"/>
          <w:bCs/>
          <w:sz w:val="24"/>
          <w:szCs w:val="24"/>
        </w:rPr>
        <w:t>.</w:t>
      </w:r>
    </w:p>
    <w:bookmarkEnd w:id="3"/>
    <w:p w:rsidR="006D7F6F" w:rsidRDefault="006D7F6F" w:rsidP="00352F8D">
      <w:pPr>
        <w:ind w:firstLine="709"/>
        <w:jc w:val="center"/>
        <w:rPr>
          <w:bCs/>
        </w:rPr>
      </w:pPr>
    </w:p>
    <w:p w:rsidR="00492A60" w:rsidRPr="00AA5219" w:rsidRDefault="00D15743" w:rsidP="00352F8D">
      <w:pPr>
        <w:ind w:firstLine="709"/>
        <w:jc w:val="cente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rsidR="00AC241A">
        <w:t>Усть-Илгинского</w:t>
      </w:r>
      <w:r>
        <w:t xml:space="preserve">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AC241A">
        <w:t>Усть-Илгинского</w:t>
      </w:r>
      <w:r w:rsidR="000267E3">
        <w:t xml:space="preserve"> муниципального образования</w:t>
      </w:r>
      <w:r w:rsidRPr="00B03A0F">
        <w:rPr>
          <w:rFonts w:eastAsia="TimesNewRomanPSMT"/>
        </w:rPr>
        <w:t xml:space="preserve"> </w:t>
      </w:r>
      <w:r w:rsidRPr="00B03A0F">
        <w:t xml:space="preserve">«О бюджете </w:t>
      </w:r>
      <w:r w:rsidR="00AC241A">
        <w:t>Усть-Илгинского</w:t>
      </w:r>
      <w:r w:rsidRPr="00B03A0F">
        <w:t xml:space="preserve"> 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CF7AE8">
        <w:rPr>
          <w:b/>
          <w:bCs/>
        </w:rPr>
        <w:t>6763,4</w:t>
      </w:r>
      <w:r w:rsidRPr="0072095E">
        <w:rPr>
          <w:b/>
          <w:bCs/>
        </w:rPr>
        <w:t xml:space="preserve"> 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CF7AE8">
        <w:rPr>
          <w:bCs/>
        </w:rPr>
        <w:t>6244,4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CF7AE8">
        <w:rPr>
          <w:b/>
          <w:bCs/>
          <w:color w:val="auto"/>
        </w:rPr>
        <w:t>6782,8</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CF7AE8">
        <w:rPr>
          <w:b/>
          <w:bCs/>
        </w:rPr>
        <w:t>19,4</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3,7</w:t>
      </w:r>
      <w:r w:rsidR="00CF7AE8">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CF7AE8">
        <w:rPr>
          <w:b/>
        </w:rPr>
        <w:t>6791,1</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CF7AE8">
        <w:t>6256,2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lastRenderedPageBreak/>
        <w:t xml:space="preserve">- общий объем расходов бюджета в сумме </w:t>
      </w:r>
      <w:r w:rsidR="00CF7AE8">
        <w:rPr>
          <w:b/>
        </w:rPr>
        <w:t>6811,1</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CF7AE8">
        <w:rPr>
          <w:b/>
        </w:rPr>
        <w:t>158</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CF7AE8">
        <w:rPr>
          <w:b/>
          <w:bCs/>
        </w:rPr>
        <w:t>20</w:t>
      </w:r>
      <w:r>
        <w:rPr>
          <w:b/>
          <w:bCs/>
        </w:rPr>
        <w:t xml:space="preserve"> тыс. рублей, или 3,7</w:t>
      </w:r>
      <w:r w:rsidR="003D548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CF7AE8">
        <w:rPr>
          <w:b/>
        </w:rPr>
        <w:t>6656,5</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CF7AE8">
        <w:t>6103,7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CF7AE8">
        <w:rPr>
          <w:b/>
        </w:rPr>
        <w:t>6677,2</w:t>
      </w:r>
      <w:r w:rsidRPr="0072095E">
        <w:rPr>
          <w:b/>
        </w:rPr>
        <w:t xml:space="preserve"> тыс. рублей, в том числе условно утвержденные расходы в сумме </w:t>
      </w:r>
      <w:r w:rsidR="00CF7AE8">
        <w:rPr>
          <w:b/>
        </w:rPr>
        <w:t>318,9</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CF7AE8">
        <w:rPr>
          <w:b/>
          <w:bCs/>
        </w:rPr>
        <w:t>20</w:t>
      </w:r>
      <w:r w:rsidR="00D44874">
        <w:rPr>
          <w:b/>
          <w:bCs/>
        </w:rPr>
        <w:t>,7</w:t>
      </w:r>
      <w:r>
        <w:rPr>
          <w:b/>
          <w:bCs/>
        </w:rPr>
        <w:t xml:space="preserve"> </w:t>
      </w:r>
      <w:r w:rsidRPr="0072095E">
        <w:rPr>
          <w:b/>
          <w:bCs/>
        </w:rPr>
        <w:t xml:space="preserve">тыс. рублей, или </w:t>
      </w:r>
      <w:r>
        <w:rPr>
          <w:b/>
          <w:bCs/>
        </w:rPr>
        <w:t>3,7</w:t>
      </w:r>
      <w:r w:rsidR="003D548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 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3D5484">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AC241A">
        <w:rPr>
          <w:b w:val="0"/>
          <w:sz w:val="24"/>
          <w:szCs w:val="24"/>
        </w:rPr>
        <w:t>Усть-Илгинского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CF7AE8">
        <w:rPr>
          <w:b w:val="0"/>
          <w:sz w:val="24"/>
          <w:szCs w:val="24"/>
        </w:rPr>
        <w:t>19,4</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AC241A">
        <w:rPr>
          <w:b w:val="0"/>
          <w:sz w:val="24"/>
          <w:szCs w:val="24"/>
        </w:rPr>
        <w:t>Усть-Илгинского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CF7AE8">
        <w:rPr>
          <w:b w:val="0"/>
          <w:sz w:val="24"/>
          <w:szCs w:val="24"/>
        </w:rPr>
        <w:t>39,4</w:t>
      </w:r>
      <w:r>
        <w:rPr>
          <w:b w:val="0"/>
          <w:sz w:val="24"/>
          <w:szCs w:val="24"/>
        </w:rPr>
        <w:t xml:space="preserve"> тыс. руб., в том числе верхний предел долга по муниципальным гарантиям </w:t>
      </w:r>
      <w:r w:rsidR="00AC241A">
        <w:rPr>
          <w:b w:val="0"/>
          <w:sz w:val="24"/>
          <w:szCs w:val="24"/>
        </w:rPr>
        <w:t>Усть-Илгинского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CF7AE8">
        <w:rPr>
          <w:b w:val="0"/>
          <w:sz w:val="24"/>
          <w:szCs w:val="24"/>
        </w:rPr>
        <w:t>60,1</w:t>
      </w:r>
      <w:r>
        <w:rPr>
          <w:b w:val="0"/>
          <w:sz w:val="24"/>
          <w:szCs w:val="24"/>
        </w:rPr>
        <w:t xml:space="preserve"> тыс. руб., в том числе верхний предел долга по муниципальным гарантиям </w:t>
      </w:r>
      <w:r w:rsidR="00AC241A">
        <w:rPr>
          <w:b w:val="0"/>
          <w:sz w:val="24"/>
          <w:szCs w:val="24"/>
        </w:rPr>
        <w:t>Усть-Илгинского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3D5484">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lastRenderedPageBreak/>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CF7AE8">
        <w:rPr>
          <w:color w:val="000000"/>
        </w:rPr>
        <w:t>360</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CF7AE8">
        <w:rPr>
          <w:color w:val="000000"/>
        </w:rPr>
        <w:t>370,9</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3D5484">
        <w:rPr>
          <w:color w:val="000000"/>
        </w:rPr>
        <w:t>6</w:t>
      </w:r>
      <w:r>
        <w:rPr>
          <w:color w:val="000000"/>
        </w:rPr>
        <w:t xml:space="preserve"> год </w:t>
      </w:r>
      <w:r w:rsidRPr="00B03A0F">
        <w:rPr>
          <w:color w:val="000000"/>
        </w:rPr>
        <w:t xml:space="preserve">в сумме </w:t>
      </w:r>
      <w:r w:rsidR="00CF7AE8">
        <w:rPr>
          <w:color w:val="000000"/>
        </w:rPr>
        <w:t>383,8</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285BFF">
        <w:rPr>
          <w:color w:val="000000"/>
        </w:rPr>
        <w:t>6</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CF7AE8">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AC241A">
        <w:rPr>
          <w:b w:val="0"/>
          <w:sz w:val="24"/>
          <w:szCs w:val="24"/>
        </w:rPr>
        <w:t xml:space="preserve">Усть-Илгинским </w:t>
      </w:r>
      <w:r w:rsidRPr="000D7663">
        <w:rPr>
          <w:b w:val="0"/>
          <w:sz w:val="24"/>
          <w:szCs w:val="24"/>
        </w:rPr>
        <w:t>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1452B2" w:rsidRDefault="001452B2" w:rsidP="00671963">
      <w:pPr>
        <w:ind w:firstLine="567"/>
        <w:jc w:val="both"/>
      </w:pPr>
      <w:r w:rsidRPr="006D0DD2">
        <w:rPr>
          <w:color w:val="000000"/>
        </w:rPr>
        <w:t xml:space="preserve">Проектом бюджета </w:t>
      </w:r>
      <w:r>
        <w:rPr>
          <w:color w:val="000000"/>
        </w:rPr>
        <w:t>предусмотрен</w:t>
      </w:r>
      <w:r w:rsidRPr="006D0DD2">
        <w:rPr>
          <w:color w:val="000000"/>
        </w:rPr>
        <w:t xml:space="preserve"> </w:t>
      </w:r>
      <w:r>
        <w:t>Порядок предоставления иных межбюджетных трансфертов бюджету муниципального образования «Жигаловский район» на осуществление части полномочий по решению вопросов местного значения в соответствии с заключенными соглашениями (приложение 9).</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5" w:name="_Hlk119504894"/>
            <w:r w:rsidRPr="006D09CC">
              <w:rPr>
                <w:sz w:val="20"/>
                <w:szCs w:val="20"/>
              </w:rPr>
              <w:t>ожидаемого</w:t>
            </w:r>
            <w:bookmarkEnd w:id="5"/>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0C76FA"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2C638F" w:rsidRDefault="00CF7AE8" w:rsidP="002C638F">
            <w:pPr>
              <w:jc w:val="right"/>
              <w:rPr>
                <w:sz w:val="20"/>
                <w:szCs w:val="20"/>
              </w:rPr>
            </w:pPr>
            <w:r>
              <w:rPr>
                <w:sz w:val="20"/>
                <w:szCs w:val="20"/>
              </w:rPr>
              <w:t>17002,9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4B36DE" w:rsidRDefault="004B36DE" w:rsidP="00064469">
            <w:pPr>
              <w:jc w:val="right"/>
              <w:rPr>
                <w:sz w:val="20"/>
                <w:szCs w:val="20"/>
                <w:lang w:val="en-US"/>
              </w:rPr>
            </w:pPr>
            <w:r>
              <w:rPr>
                <w:sz w:val="20"/>
                <w:szCs w:val="20"/>
                <w:lang w:val="en-US"/>
              </w:rPr>
              <w:t>6763</w:t>
            </w:r>
            <w:r>
              <w:rPr>
                <w:sz w:val="20"/>
                <w:szCs w:val="20"/>
              </w:rPr>
              <w:t>,</w:t>
            </w:r>
            <w:r>
              <w:rPr>
                <w:sz w:val="20"/>
                <w:szCs w:val="20"/>
                <w:lang w:val="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2C638F">
            <w:pPr>
              <w:jc w:val="right"/>
              <w:rPr>
                <w:sz w:val="20"/>
                <w:szCs w:val="20"/>
              </w:rPr>
            </w:pPr>
            <w:r>
              <w:rPr>
                <w:sz w:val="20"/>
                <w:szCs w:val="20"/>
              </w:rPr>
              <w:t>39,8</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4B36DE" w:rsidP="00064469">
            <w:pPr>
              <w:jc w:val="right"/>
              <w:rPr>
                <w:sz w:val="20"/>
                <w:szCs w:val="20"/>
              </w:rPr>
            </w:pPr>
            <w:r>
              <w:rPr>
                <w:sz w:val="20"/>
                <w:szCs w:val="20"/>
              </w:rPr>
              <w:t>6791,1</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064469">
            <w:pPr>
              <w:jc w:val="right"/>
              <w:rPr>
                <w:sz w:val="20"/>
                <w:szCs w:val="20"/>
              </w:rPr>
            </w:pPr>
            <w:r>
              <w:rPr>
                <w:sz w:val="20"/>
                <w:szCs w:val="20"/>
              </w:rPr>
              <w:t>00,4</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4B36DE" w:rsidP="00064469">
            <w:pPr>
              <w:jc w:val="right"/>
              <w:rPr>
                <w:sz w:val="20"/>
                <w:szCs w:val="20"/>
              </w:rPr>
            </w:pPr>
            <w:r>
              <w:rPr>
                <w:sz w:val="20"/>
                <w:szCs w:val="20"/>
              </w:rPr>
              <w:t>6656,5</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064469">
            <w:pPr>
              <w:jc w:val="right"/>
              <w:rPr>
                <w:sz w:val="20"/>
                <w:szCs w:val="20"/>
              </w:rPr>
            </w:pPr>
            <w:r>
              <w:rPr>
                <w:sz w:val="20"/>
                <w:szCs w:val="20"/>
              </w:rPr>
              <w:t>98</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CF7AE8" w:rsidP="00064469">
            <w:pPr>
              <w:jc w:val="right"/>
              <w:rPr>
                <w:sz w:val="20"/>
                <w:szCs w:val="20"/>
              </w:rPr>
            </w:pPr>
            <w:r>
              <w:rPr>
                <w:sz w:val="20"/>
                <w:szCs w:val="20"/>
              </w:rPr>
              <w:t>503,5</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4B36DE" w:rsidP="00064469">
            <w:pPr>
              <w:jc w:val="right"/>
              <w:rPr>
                <w:sz w:val="20"/>
                <w:szCs w:val="20"/>
              </w:rPr>
            </w:pPr>
            <w:r>
              <w:rPr>
                <w:sz w:val="20"/>
                <w:szCs w:val="20"/>
              </w:rPr>
              <w:t>519</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064469">
            <w:pPr>
              <w:jc w:val="right"/>
              <w:rPr>
                <w:sz w:val="20"/>
                <w:szCs w:val="20"/>
              </w:rPr>
            </w:pPr>
            <w:r>
              <w:rPr>
                <w:sz w:val="20"/>
                <w:szCs w:val="20"/>
              </w:rPr>
              <w:t>103,1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4B36DE" w:rsidP="00064469">
            <w:pPr>
              <w:jc w:val="right"/>
              <w:rPr>
                <w:sz w:val="20"/>
                <w:szCs w:val="20"/>
              </w:rPr>
            </w:pPr>
            <w:r>
              <w:rPr>
                <w:sz w:val="20"/>
                <w:szCs w:val="20"/>
              </w:rPr>
              <w:t>534,9</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064469">
            <w:pPr>
              <w:jc w:val="right"/>
              <w:rPr>
                <w:sz w:val="20"/>
                <w:szCs w:val="20"/>
              </w:rPr>
            </w:pPr>
            <w:r>
              <w:rPr>
                <w:sz w:val="20"/>
                <w:szCs w:val="20"/>
              </w:rPr>
              <w:t>103,1</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4B36DE" w:rsidP="00064469">
            <w:pPr>
              <w:jc w:val="right"/>
              <w:rPr>
                <w:sz w:val="20"/>
                <w:szCs w:val="20"/>
              </w:rPr>
            </w:pPr>
            <w:r>
              <w:rPr>
                <w:sz w:val="20"/>
                <w:szCs w:val="20"/>
              </w:rPr>
              <w:t>552,8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064469">
            <w:pPr>
              <w:jc w:val="right"/>
              <w:rPr>
                <w:sz w:val="20"/>
                <w:szCs w:val="20"/>
              </w:rPr>
            </w:pPr>
            <w:r>
              <w:rPr>
                <w:sz w:val="20"/>
                <w:szCs w:val="20"/>
              </w:rPr>
              <w:t>103,3</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CF7AE8" w:rsidP="002C638F">
            <w:pPr>
              <w:jc w:val="right"/>
              <w:rPr>
                <w:sz w:val="20"/>
                <w:szCs w:val="20"/>
              </w:rPr>
            </w:pPr>
            <w:r>
              <w:rPr>
                <w:sz w:val="20"/>
                <w:szCs w:val="20"/>
              </w:rPr>
              <w:t>16499,4</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4B36DE" w:rsidP="00064469">
            <w:pPr>
              <w:jc w:val="right"/>
              <w:rPr>
                <w:sz w:val="20"/>
                <w:szCs w:val="20"/>
              </w:rPr>
            </w:pPr>
            <w:r>
              <w:rPr>
                <w:sz w:val="20"/>
                <w:szCs w:val="20"/>
              </w:rPr>
              <w:t>6244,4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064469">
            <w:pPr>
              <w:jc w:val="right"/>
              <w:rPr>
                <w:sz w:val="20"/>
                <w:szCs w:val="20"/>
              </w:rPr>
            </w:pPr>
            <w:r>
              <w:rPr>
                <w:sz w:val="20"/>
                <w:szCs w:val="20"/>
              </w:rPr>
              <w:t>37,8</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4B36DE" w:rsidP="00064469">
            <w:pPr>
              <w:jc w:val="right"/>
              <w:rPr>
                <w:sz w:val="20"/>
                <w:szCs w:val="20"/>
              </w:rPr>
            </w:pPr>
            <w:r>
              <w:rPr>
                <w:sz w:val="20"/>
                <w:szCs w:val="20"/>
              </w:rPr>
              <w:t>6256,2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064469">
            <w:pPr>
              <w:jc w:val="right"/>
              <w:rPr>
                <w:sz w:val="20"/>
                <w:szCs w:val="20"/>
              </w:rPr>
            </w:pPr>
            <w:r>
              <w:rPr>
                <w:sz w:val="20"/>
                <w:szCs w:val="20"/>
              </w:rPr>
              <w:t>100,2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4B36DE" w:rsidP="00064469">
            <w:pPr>
              <w:jc w:val="right"/>
              <w:rPr>
                <w:sz w:val="20"/>
                <w:szCs w:val="20"/>
              </w:rPr>
            </w:pPr>
            <w:r>
              <w:rPr>
                <w:sz w:val="20"/>
                <w:szCs w:val="20"/>
              </w:rPr>
              <w:t>6103,7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68495A" w:rsidP="00064469">
            <w:pPr>
              <w:jc w:val="right"/>
              <w:rPr>
                <w:sz w:val="20"/>
                <w:szCs w:val="20"/>
              </w:rPr>
            </w:pPr>
            <w:r>
              <w:rPr>
                <w:sz w:val="20"/>
                <w:szCs w:val="20"/>
              </w:rPr>
              <w:t>97,6</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4B36DE" w:rsidRDefault="00CF7AE8" w:rsidP="00CF7AE8">
            <w:pPr>
              <w:jc w:val="right"/>
              <w:rPr>
                <w:sz w:val="20"/>
                <w:szCs w:val="20"/>
                <w:lang w:val="en-US"/>
              </w:rPr>
            </w:pPr>
            <w:r>
              <w:rPr>
                <w:sz w:val="20"/>
                <w:szCs w:val="20"/>
              </w:rPr>
              <w:t>18113,</w:t>
            </w:r>
            <w:r w:rsidR="004B36DE">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4B36DE" w:rsidP="00064469">
            <w:pPr>
              <w:jc w:val="right"/>
              <w:rPr>
                <w:sz w:val="20"/>
                <w:szCs w:val="20"/>
              </w:rPr>
            </w:pPr>
            <w:r>
              <w:rPr>
                <w:sz w:val="20"/>
                <w:szCs w:val="20"/>
              </w:rPr>
              <w:t>6782,8</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68495A" w:rsidP="00064469">
            <w:pPr>
              <w:jc w:val="right"/>
              <w:rPr>
                <w:sz w:val="20"/>
                <w:szCs w:val="20"/>
              </w:rPr>
            </w:pPr>
            <w:r>
              <w:rPr>
                <w:sz w:val="20"/>
                <w:szCs w:val="20"/>
              </w:rPr>
              <w:t>37,4</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4B36DE" w:rsidP="00064469">
            <w:pPr>
              <w:jc w:val="right"/>
              <w:rPr>
                <w:sz w:val="20"/>
                <w:szCs w:val="20"/>
              </w:rPr>
            </w:pPr>
            <w:r>
              <w:rPr>
                <w:sz w:val="20"/>
                <w:szCs w:val="20"/>
              </w:rPr>
              <w:t>6811,1</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68495A" w:rsidP="00064469">
            <w:pPr>
              <w:jc w:val="right"/>
              <w:rPr>
                <w:sz w:val="20"/>
                <w:szCs w:val="20"/>
              </w:rPr>
            </w:pPr>
            <w:r>
              <w:rPr>
                <w:sz w:val="20"/>
                <w:szCs w:val="20"/>
              </w:rPr>
              <w:t>100,4</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4B36DE" w:rsidP="00064469">
            <w:pPr>
              <w:jc w:val="right"/>
              <w:rPr>
                <w:sz w:val="20"/>
                <w:szCs w:val="20"/>
              </w:rPr>
            </w:pPr>
            <w:r>
              <w:rPr>
                <w:sz w:val="20"/>
                <w:szCs w:val="20"/>
              </w:rPr>
              <w:t>6677,2</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68495A" w:rsidP="00064469">
            <w:pPr>
              <w:jc w:val="right"/>
              <w:rPr>
                <w:sz w:val="20"/>
                <w:szCs w:val="20"/>
              </w:rPr>
            </w:pPr>
            <w:r>
              <w:rPr>
                <w:sz w:val="20"/>
                <w:szCs w:val="20"/>
              </w:rPr>
              <w:t>98</w:t>
            </w:r>
          </w:p>
        </w:tc>
      </w:tr>
      <w:tr w:rsidR="00BD2B8B" w:rsidRPr="006D09CC" w:rsidTr="00BD2B8B">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BD2B8B">
            <w:pPr>
              <w:jc w:val="right"/>
              <w:rPr>
                <w:sz w:val="20"/>
                <w:szCs w:val="20"/>
              </w:rPr>
            </w:pPr>
            <w:r>
              <w:rPr>
                <w:sz w:val="20"/>
                <w:szCs w:val="20"/>
              </w:rPr>
              <w:t>158</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BD2B8B">
            <w:pPr>
              <w:jc w:val="right"/>
              <w:rPr>
                <w:sz w:val="20"/>
                <w:szCs w:val="20"/>
              </w:rPr>
            </w:pPr>
            <w:r>
              <w:rPr>
                <w:sz w:val="20"/>
                <w:szCs w:val="20"/>
              </w:rPr>
              <w:t>318,9</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r w:rsidR="00BD2B8B" w:rsidRPr="006D09CC" w:rsidTr="00BD2B8B">
        <w:trPr>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2C638F">
            <w:pPr>
              <w:jc w:val="right"/>
              <w:rPr>
                <w:sz w:val="20"/>
                <w:szCs w:val="20"/>
              </w:rPr>
            </w:pPr>
            <w:r>
              <w:rPr>
                <w:sz w:val="20"/>
                <w:szCs w:val="20"/>
              </w:rPr>
              <w:t>-1111</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BD2B8B">
            <w:pPr>
              <w:jc w:val="right"/>
              <w:rPr>
                <w:sz w:val="20"/>
                <w:szCs w:val="20"/>
              </w:rPr>
            </w:pPr>
            <w:r>
              <w:rPr>
                <w:sz w:val="20"/>
                <w:szCs w:val="20"/>
              </w:rPr>
              <w:t>-19,4</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BD2B8B">
            <w:pPr>
              <w:jc w:val="right"/>
              <w:rPr>
                <w:sz w:val="20"/>
                <w:szCs w:val="20"/>
              </w:rPr>
            </w:pPr>
            <w:r>
              <w:rPr>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BD2B8B">
            <w:pPr>
              <w:jc w:val="right"/>
              <w:rPr>
                <w:sz w:val="20"/>
                <w:szCs w:val="20"/>
              </w:rPr>
            </w:pPr>
            <w:r>
              <w:rPr>
                <w:sz w:val="20"/>
                <w:szCs w:val="20"/>
              </w:rPr>
              <w:t>-20,7</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F84EA0">
        <w:rPr>
          <w:color w:val="auto"/>
        </w:rPr>
        <w:t>10239,5</w:t>
      </w:r>
      <w:r w:rsidR="009378B8">
        <w:rPr>
          <w:color w:val="auto"/>
        </w:rPr>
        <w:t xml:space="preserve"> тыс. руб., или </w:t>
      </w:r>
      <w:r w:rsidR="00DB4ACA">
        <w:rPr>
          <w:color w:val="auto"/>
        </w:rPr>
        <w:t xml:space="preserve">на </w:t>
      </w:r>
      <w:r w:rsidR="00F84EA0">
        <w:rPr>
          <w:color w:val="auto"/>
        </w:rPr>
        <w:t>60,2</w:t>
      </w:r>
      <w:r w:rsidRPr="006D09CC">
        <w:rPr>
          <w:color w:val="auto"/>
        </w:rPr>
        <w:t xml:space="preserve">% (налоговые и неналоговые доходы </w:t>
      </w:r>
      <w:r w:rsidR="00802A3A">
        <w:rPr>
          <w:color w:val="auto"/>
        </w:rPr>
        <w:t>прогнозируются с ростом</w:t>
      </w:r>
      <w:r w:rsidRPr="006D09CC">
        <w:rPr>
          <w:color w:val="auto"/>
        </w:rPr>
        <w:t xml:space="preserve"> на </w:t>
      </w:r>
      <w:r w:rsidR="00F84EA0">
        <w:rPr>
          <w:color w:val="auto"/>
        </w:rPr>
        <w:t>15</w:t>
      </w:r>
      <w:r w:rsidR="00DB4ACA">
        <w:rPr>
          <w:color w:val="auto"/>
        </w:rPr>
        <w:t>,5</w:t>
      </w:r>
      <w:r w:rsidR="00802A3A">
        <w:rPr>
          <w:color w:val="auto"/>
        </w:rPr>
        <w:t xml:space="preserve"> тыс. руб., или </w:t>
      </w:r>
      <w:r w:rsidR="00F84EA0">
        <w:rPr>
          <w:color w:val="auto"/>
        </w:rPr>
        <w:t>103,1</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F84EA0">
        <w:rPr>
          <w:color w:val="auto"/>
        </w:rPr>
        <w:t>10255</w:t>
      </w:r>
      <w:r w:rsidR="00802A3A">
        <w:rPr>
          <w:color w:val="auto"/>
        </w:rPr>
        <w:t xml:space="preserve"> тыс. руб., или на </w:t>
      </w:r>
      <w:r w:rsidR="00F84EA0">
        <w:rPr>
          <w:color w:val="auto"/>
        </w:rPr>
        <w:t>62,2</w:t>
      </w:r>
      <w:r w:rsidRPr="006D09CC">
        <w:rPr>
          <w:color w:val="auto"/>
        </w:rPr>
        <w:t xml:space="preserve">%). В </w:t>
      </w:r>
      <w:r w:rsidR="00802A3A">
        <w:rPr>
          <w:color w:val="auto"/>
        </w:rPr>
        <w:t xml:space="preserve">2025 году </w:t>
      </w:r>
      <w:r w:rsidRPr="006D09CC">
        <w:rPr>
          <w:color w:val="auto"/>
        </w:rPr>
        <w:t xml:space="preserve">прогнозируется </w:t>
      </w:r>
      <w:r w:rsidR="00F84EA0">
        <w:rPr>
          <w:color w:val="auto"/>
        </w:rPr>
        <w:t xml:space="preserve">незначительный </w:t>
      </w:r>
      <w:r w:rsidR="00F84EA0">
        <w:rPr>
          <w:color w:val="auto"/>
        </w:rPr>
        <w:lastRenderedPageBreak/>
        <w:t>рост</w:t>
      </w:r>
      <w:r w:rsidRPr="006D09CC">
        <w:rPr>
          <w:color w:val="auto"/>
        </w:rPr>
        <w:t xml:space="preserve">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F84EA0">
        <w:rPr>
          <w:color w:val="auto"/>
        </w:rPr>
        <w:t>27,7</w:t>
      </w:r>
      <w:r w:rsidR="00802A3A">
        <w:rPr>
          <w:color w:val="auto"/>
        </w:rPr>
        <w:t xml:space="preserve"> тыс. руб., или </w:t>
      </w:r>
      <w:r w:rsidR="00F84EA0">
        <w:rPr>
          <w:color w:val="auto"/>
        </w:rPr>
        <w:t>100,4</w:t>
      </w:r>
      <w:r w:rsidRPr="006D09CC">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w:t>
      </w:r>
      <w:r w:rsidR="00F84EA0">
        <w:rPr>
          <w:color w:val="auto"/>
        </w:rPr>
        <w:t>134,6</w:t>
      </w:r>
      <w:r w:rsidR="00255DF1">
        <w:rPr>
          <w:color w:val="auto"/>
        </w:rPr>
        <w:t xml:space="preserve"> тыс. руб., или</w:t>
      </w:r>
      <w:r w:rsidRPr="006D09CC">
        <w:rPr>
          <w:color w:val="auto"/>
        </w:rPr>
        <w:t xml:space="preserve"> </w:t>
      </w:r>
      <w:r w:rsidR="00255DF1">
        <w:rPr>
          <w:color w:val="auto"/>
        </w:rPr>
        <w:t xml:space="preserve">на </w:t>
      </w:r>
      <w:r w:rsidR="00F84EA0">
        <w:rPr>
          <w:color w:val="auto"/>
        </w:rPr>
        <w:t>2</w:t>
      </w:r>
      <w:r w:rsidRPr="006D09CC">
        <w:rPr>
          <w:color w:val="auto"/>
        </w:rPr>
        <w:t>%.</w:t>
      </w:r>
    </w:p>
    <w:p w:rsidR="00AD2183" w:rsidRDefault="00DC3AF0" w:rsidP="00AD2183">
      <w:pPr>
        <w:pStyle w:val="Default"/>
        <w:ind w:firstLine="709"/>
        <w:jc w:val="both"/>
      </w:pPr>
      <w:r w:rsidRPr="006D09CC">
        <w:rPr>
          <w:color w:val="auto"/>
        </w:rPr>
        <w:t>Общий объем расходов бюджета поселения на 202</w:t>
      </w:r>
      <w:r w:rsidR="002F7BAE">
        <w:rPr>
          <w:color w:val="auto"/>
        </w:rPr>
        <w:t>4</w:t>
      </w:r>
      <w:r w:rsidRPr="006D09CC">
        <w:rPr>
          <w:color w:val="auto"/>
        </w:rPr>
        <w:t xml:space="preserve"> год составит </w:t>
      </w:r>
      <w:r w:rsidR="00F84EA0">
        <w:rPr>
          <w:color w:val="auto"/>
        </w:rPr>
        <w:t>37,4</w:t>
      </w:r>
      <w:r w:rsidRPr="006D09CC">
        <w:rPr>
          <w:color w:val="auto"/>
        </w:rPr>
        <w:t xml:space="preserve">% </w:t>
      </w:r>
      <w:r w:rsidR="002F7BAE">
        <w:rPr>
          <w:color w:val="auto"/>
        </w:rPr>
        <w:t>(-</w:t>
      </w:r>
      <w:r w:rsidR="00F84EA0">
        <w:rPr>
          <w:color w:val="auto"/>
        </w:rPr>
        <w:t>11331,1</w:t>
      </w:r>
      <w:r w:rsidR="002F7BAE">
        <w:rPr>
          <w:color w:val="auto"/>
        </w:rPr>
        <w:t xml:space="preserve"> тыс.руб.) </w:t>
      </w:r>
      <w:r w:rsidRPr="006D09CC">
        <w:rPr>
          <w:color w:val="auto"/>
        </w:rPr>
        <w:t>от оценки ожидаемого исполнения 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w:t>
      </w:r>
      <w:r w:rsidR="00F84EA0">
        <w:rPr>
          <w:color w:val="auto"/>
        </w:rPr>
        <w:t>незначительный рост</w:t>
      </w:r>
      <w:r w:rsidR="002F7BAE" w:rsidRPr="006D09CC">
        <w:rPr>
          <w:color w:val="auto"/>
        </w:rPr>
        <w:t xml:space="preserve"> 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F84EA0">
        <w:rPr>
          <w:color w:val="auto"/>
        </w:rPr>
        <w:t>28,3</w:t>
      </w:r>
      <w:r w:rsidR="002F7BAE">
        <w:rPr>
          <w:color w:val="auto"/>
        </w:rPr>
        <w:t xml:space="preserve"> тыс. руб., или </w:t>
      </w:r>
      <w:r w:rsidR="00F84EA0">
        <w:rPr>
          <w:color w:val="auto"/>
        </w:rPr>
        <w:t>100,4</w:t>
      </w:r>
      <w:r w:rsidR="002F7BAE" w:rsidRPr="006D09CC">
        <w:rPr>
          <w:color w:val="auto"/>
        </w:rPr>
        <w:t>%</w:t>
      </w:r>
      <w:r w:rsidR="002F7BAE">
        <w:rPr>
          <w:color w:val="auto"/>
        </w:rPr>
        <w:t>,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w:t>
      </w:r>
      <w:r w:rsidR="00F84EA0">
        <w:rPr>
          <w:color w:val="auto"/>
        </w:rPr>
        <w:t>133,9</w:t>
      </w:r>
      <w:r w:rsidR="002F7BAE">
        <w:rPr>
          <w:color w:val="auto"/>
        </w:rPr>
        <w:t xml:space="preserve"> тыс. руб., или</w:t>
      </w:r>
      <w:r w:rsidR="002F7BAE" w:rsidRPr="006D09CC">
        <w:rPr>
          <w:color w:val="auto"/>
        </w:rPr>
        <w:t xml:space="preserve"> </w:t>
      </w:r>
      <w:r w:rsidR="002F7BAE">
        <w:rPr>
          <w:color w:val="auto"/>
        </w:rPr>
        <w:t xml:space="preserve">на </w:t>
      </w:r>
      <w:r w:rsidR="00F84EA0">
        <w:rPr>
          <w:color w:val="auto"/>
        </w:rPr>
        <w:t>2</w:t>
      </w:r>
      <w:r w:rsidR="002F7BAE" w:rsidRPr="006D09CC">
        <w:rPr>
          <w:color w:val="auto"/>
        </w:rPr>
        <w:t>%.</w:t>
      </w:r>
      <w:r w:rsidR="00AD2183" w:rsidRPr="00AD2183">
        <w:t xml:space="preserve"> </w:t>
      </w:r>
    </w:p>
    <w:p w:rsidR="002F7BAE" w:rsidRPr="006D09CC" w:rsidRDefault="00AD2183" w:rsidP="00AD2183">
      <w:pPr>
        <w:pStyle w:val="Default"/>
        <w:ind w:firstLine="709"/>
        <w:jc w:val="both"/>
        <w:rPr>
          <w:color w:val="auto"/>
        </w:rPr>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F84EA0">
        <w:t>1111</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F84EA0">
        <w:t>19,4</w:t>
      </w:r>
      <w:r w:rsidRPr="006D09CC">
        <w:t xml:space="preserve"> тыс. руб., на плановый период 202</w:t>
      </w:r>
      <w:r>
        <w:t>5</w:t>
      </w:r>
      <w:r w:rsidRPr="006D09CC">
        <w:t xml:space="preserve"> года – </w:t>
      </w:r>
      <w:r w:rsidR="00F84EA0">
        <w:t>20</w:t>
      </w:r>
      <w:r w:rsidRPr="006D09CC">
        <w:t xml:space="preserve"> тыс. руб. и 202</w:t>
      </w:r>
      <w:r>
        <w:t>6</w:t>
      </w:r>
      <w:r w:rsidRPr="006D09CC">
        <w:t xml:space="preserve"> года – </w:t>
      </w:r>
      <w:r w:rsidR="00F84EA0">
        <w:t>20</w:t>
      </w:r>
      <w:r w:rsidR="00DB4ACA">
        <w:t>,7</w:t>
      </w:r>
      <w:r w:rsidRPr="006D09CC">
        <w:t xml:space="preserve"> тыс. руб.</w:t>
      </w:r>
    </w:p>
    <w:p w:rsidR="002F7BAE" w:rsidRDefault="002F7BAE" w:rsidP="002F7BAE">
      <w:pPr>
        <w:pStyle w:val="Default"/>
        <w:ind w:firstLine="709"/>
        <w:jc w:val="both"/>
      </w:pPr>
    </w:p>
    <w:p w:rsidR="003C33C3" w:rsidRPr="00AA5219" w:rsidRDefault="0005537D" w:rsidP="003C33C3">
      <w:pPr>
        <w:ind w:firstLine="709"/>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r w:rsidR="00AC241A">
        <w:t>Усть-Илгинского</w:t>
      </w:r>
      <w:r w:rsidR="0044286D" w:rsidRPr="00AA5219">
        <w:t xml:space="preserve"> муниципального образования </w:t>
      </w:r>
      <w:r w:rsidR="003C33C3">
        <w:rPr>
          <w:bCs/>
        </w:rPr>
        <w:t>на 2024 год и на плановый период 2025 и 2026 годов</w:t>
      </w:r>
    </w:p>
    <w:p w:rsidR="003C33C3" w:rsidRDefault="003C33C3" w:rsidP="003C33C3">
      <w:pPr>
        <w:ind w:firstLine="708"/>
        <w:jc w:val="both"/>
      </w:pPr>
    </w:p>
    <w:p w:rsidR="005567CE" w:rsidRPr="0072095E" w:rsidRDefault="00356D0B" w:rsidP="005567CE">
      <w:pPr>
        <w:pStyle w:val="Default"/>
        <w:tabs>
          <w:tab w:val="left" w:pos="567"/>
        </w:tabs>
        <w:ind w:firstLine="709"/>
        <w:jc w:val="both"/>
        <w:rPr>
          <w:color w:val="auto"/>
        </w:rPr>
      </w:pPr>
      <w:r w:rsidRPr="006D09CC">
        <w:t xml:space="preserve">Прогноз поступления доходов в бюджет </w:t>
      </w:r>
      <w:r w:rsidR="00AC241A">
        <w:t>Усть-Илгинского</w:t>
      </w:r>
      <w:r w:rsidRPr="00AA5219">
        <w:t xml:space="preserve"> муниципального образования </w:t>
      </w:r>
      <w:r w:rsidRPr="006D09CC">
        <w:t>на 202</w:t>
      </w:r>
      <w:r>
        <w:t>4</w:t>
      </w:r>
      <w:r w:rsidRPr="006D09CC">
        <w:t xml:space="preserve"> и плановый период</w:t>
      </w:r>
      <w:r>
        <w:t xml:space="preserve"> </w:t>
      </w:r>
      <w:r w:rsidRPr="006D09CC">
        <w:t>202</w:t>
      </w:r>
      <w:r>
        <w:t>5</w:t>
      </w:r>
      <w:r w:rsidRPr="006D09CC">
        <w:t xml:space="preserve"> и 202</w:t>
      </w:r>
      <w:r>
        <w:t>6</w:t>
      </w:r>
      <w:r w:rsidRPr="006D09CC">
        <w:t xml:space="preserve"> годов сформирован с учетом положений Б</w:t>
      </w:r>
      <w:r>
        <w:t>юджетного кодекса</w:t>
      </w:r>
      <w:r w:rsidRPr="006D09CC">
        <w:t xml:space="preserve"> Р</w:t>
      </w:r>
      <w:r>
        <w:t xml:space="preserve">оссийской </w:t>
      </w:r>
      <w:r w:rsidRPr="006D09CC">
        <w:t>Ф</w:t>
      </w:r>
      <w:r>
        <w:t>едерации</w:t>
      </w:r>
      <w:r w:rsidRPr="006D09CC">
        <w:t>, законопроекта Иркутской области «Об областном бюджете на 202</w:t>
      </w:r>
      <w:r>
        <w:t>4</w:t>
      </w:r>
      <w:r w:rsidRPr="006D09CC">
        <w:t xml:space="preserve"> год и на плановый период 202</w:t>
      </w:r>
      <w:r>
        <w:t>5</w:t>
      </w:r>
      <w:r w:rsidRPr="006D09CC">
        <w:t xml:space="preserve"> и 202</w:t>
      </w:r>
      <w:r>
        <w:t>6</w:t>
      </w:r>
      <w:r w:rsidRPr="006D09CC">
        <w:t xml:space="preserve"> годов» (далее – </w:t>
      </w:r>
      <w:bookmarkStart w:id="6" w:name="_Hlk119674464"/>
      <w:r w:rsidRPr="006D09CC">
        <w:t>Законопроект «Об областном бюджете»</w:t>
      </w:r>
      <w:bookmarkEnd w:id="6"/>
      <w:r w:rsidRPr="006D09CC">
        <w:t xml:space="preserve">),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w:t>
      </w:r>
      <w:r>
        <w:t>п</w:t>
      </w:r>
      <w:r w:rsidRPr="006D09CC">
        <w:t xml:space="preserve">роекта решения Думы </w:t>
      </w:r>
      <w:r>
        <w:t xml:space="preserve">муниципального образования «Жигаловский </w:t>
      </w:r>
      <w:r w:rsidRPr="006D09CC">
        <w:t>район</w:t>
      </w:r>
      <w:r>
        <w:t>»</w:t>
      </w:r>
      <w:r w:rsidR="00AD3702">
        <w:t xml:space="preserve"> </w:t>
      </w:r>
      <w:r w:rsidR="00AD3702" w:rsidRPr="007A3812">
        <w:t>«О бюджете муниципального образования «Жигаловский район» на 202</w:t>
      </w:r>
      <w:r w:rsidR="00AD3702">
        <w:t>4</w:t>
      </w:r>
      <w:r w:rsidR="00AD3702" w:rsidRPr="007A3812">
        <w:t xml:space="preserve"> год и плановый период 202</w:t>
      </w:r>
      <w:r w:rsidR="00AD3702">
        <w:t>5</w:t>
      </w:r>
      <w:r w:rsidR="00AD3702" w:rsidRPr="007A3812">
        <w:t xml:space="preserve"> и 202</w:t>
      </w:r>
      <w:r w:rsidR="00AD3702">
        <w:t>6</w:t>
      </w:r>
      <w:r w:rsidR="00AD3702" w:rsidRPr="007A3812">
        <w:t xml:space="preserve"> годов»</w:t>
      </w:r>
      <w:r w:rsidR="005567CE">
        <w:t xml:space="preserve">, </w:t>
      </w:r>
      <w:r w:rsidR="005567CE" w:rsidRPr="0072095E">
        <w:rPr>
          <w:color w:val="auto"/>
        </w:rPr>
        <w:t>динамики фактических поступлений, прогноза социально</w:t>
      </w:r>
      <w:r w:rsidR="005567CE">
        <w:rPr>
          <w:color w:val="auto"/>
        </w:rPr>
        <w:t>-экономического развития на 2024 год и плановый период 2025 и 2026 годов</w:t>
      </w:r>
      <w:r w:rsidR="005567CE"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634960">
        <w:rPr>
          <w:rFonts w:eastAsia="Calibri"/>
        </w:rPr>
        <w:t>4</w:t>
      </w:r>
      <w:r w:rsidRPr="00D972AF">
        <w:rPr>
          <w:rFonts w:eastAsia="Calibri"/>
        </w:rPr>
        <w:t xml:space="preserve"> год </w:t>
      </w:r>
      <w:r w:rsidR="00D60D58">
        <w:rPr>
          <w:rFonts w:eastAsia="Calibri"/>
        </w:rPr>
        <w:t>прогнозируются</w:t>
      </w:r>
      <w:r w:rsidRPr="00D972AF">
        <w:rPr>
          <w:rFonts w:eastAsia="Calibri"/>
        </w:rPr>
        <w:t xml:space="preserve"> в сумме </w:t>
      </w:r>
      <w:r w:rsidR="00C540EE">
        <w:rPr>
          <w:rFonts w:eastAsia="Calibri"/>
        </w:rPr>
        <w:t>6763,4</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w:t>
      </w:r>
      <w:r w:rsidR="00CA4BFF">
        <w:rPr>
          <w:rFonts w:eastAsia="Calibri"/>
        </w:rPr>
        <w:t xml:space="preserve">со снижением к оценке исполнения 2023 года на </w:t>
      </w:r>
      <w:r w:rsidR="00C540EE">
        <w:rPr>
          <w:rFonts w:eastAsia="Calibri"/>
        </w:rPr>
        <w:t>10239,5</w:t>
      </w:r>
      <w:r w:rsidR="00CA4BFF">
        <w:rPr>
          <w:rFonts w:eastAsia="Calibri"/>
        </w:rPr>
        <w:t xml:space="preserve"> тыс. руб. (-</w:t>
      </w:r>
      <w:r w:rsidR="00C540EE">
        <w:rPr>
          <w:rFonts w:eastAsia="Calibri"/>
        </w:rPr>
        <w:t>60,2</w:t>
      </w:r>
      <w:r w:rsidR="00CA4BFF">
        <w:rPr>
          <w:rFonts w:eastAsia="Calibri"/>
        </w:rPr>
        <w:t xml:space="preserve">%), </w:t>
      </w:r>
      <w:r w:rsidRPr="00D972AF">
        <w:rPr>
          <w:rFonts w:eastAsia="Calibri"/>
        </w:rPr>
        <w:t xml:space="preserve">в том числе объем налоговых и неналоговых доходов в сумме </w:t>
      </w:r>
      <w:r w:rsidR="00C540EE">
        <w:rPr>
          <w:rFonts w:eastAsia="Calibri"/>
        </w:rPr>
        <w:t>519</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C540EE">
        <w:rPr>
          <w:rFonts w:eastAsia="Calibri"/>
        </w:rPr>
        <w:t>7,7</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C540EE">
        <w:rPr>
          <w:rFonts w:eastAsia="Calibri"/>
        </w:rPr>
        <w:t>6244,4</w:t>
      </w:r>
      <w:r w:rsidRPr="00D972AF">
        <w:rPr>
          <w:rFonts w:eastAsia="Calibri"/>
        </w:rPr>
        <w:t xml:space="preserve"> тыс. руб</w:t>
      </w:r>
      <w:r>
        <w:rPr>
          <w:rFonts w:eastAsia="Calibri"/>
        </w:rPr>
        <w:t>лей,</w:t>
      </w:r>
      <w:r w:rsidRPr="00D972AF">
        <w:rPr>
          <w:rFonts w:eastAsia="Calibri"/>
        </w:rPr>
        <w:t xml:space="preserve"> или </w:t>
      </w:r>
      <w:r w:rsidR="00C540EE">
        <w:rPr>
          <w:rFonts w:eastAsia="Calibri"/>
        </w:rPr>
        <w:t>92,3</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FD403D">
        <w:rPr>
          <w:rFonts w:eastAsia="Calibri"/>
        </w:rPr>
        <w:t>6791,1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FD403D">
        <w:rPr>
          <w:rFonts w:eastAsia="Calibri"/>
        </w:rPr>
        <w:t xml:space="preserve"> (+27,7 тыс. руб. (100,4</w:t>
      </w:r>
      <w:r w:rsidR="00CA4BFF">
        <w:rPr>
          <w:rFonts w:eastAsia="Calibri"/>
        </w:rPr>
        <w:t>%) к прогнозу 2024 года)</w:t>
      </w:r>
      <w:r w:rsidR="00B139DA" w:rsidRPr="00D972AF">
        <w:rPr>
          <w:rFonts w:eastAsia="Calibri"/>
        </w:rPr>
        <w:t xml:space="preserve">, в том числе налоговые и неналоговые доходы – </w:t>
      </w:r>
      <w:r w:rsidR="00FD403D">
        <w:rPr>
          <w:rFonts w:eastAsia="Calibri"/>
        </w:rPr>
        <w:t>534,9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D403D">
        <w:rPr>
          <w:rFonts w:eastAsia="Calibri"/>
        </w:rPr>
        <w:t>7,7</w:t>
      </w:r>
      <w:r w:rsidR="00B139DA" w:rsidRPr="00D972AF">
        <w:rPr>
          <w:rFonts w:eastAsia="Calibri"/>
        </w:rPr>
        <w:t xml:space="preserve">%), безвозмездные поступления – </w:t>
      </w:r>
      <w:r w:rsidR="00FD403D">
        <w:rPr>
          <w:rFonts w:eastAsia="Calibri"/>
        </w:rPr>
        <w:t>6256,2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D403D">
        <w:rPr>
          <w:rFonts w:eastAsia="Calibri"/>
        </w:rPr>
        <w:t>92,3</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FD403D">
        <w:rPr>
          <w:rFonts w:eastAsia="Calibri"/>
        </w:rPr>
        <w:t>6656,5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CA4BFF">
        <w:rPr>
          <w:rFonts w:eastAsia="Calibri"/>
        </w:rPr>
        <w:t xml:space="preserve"> (-</w:t>
      </w:r>
      <w:r w:rsidR="00FD403D">
        <w:rPr>
          <w:rFonts w:eastAsia="Calibri"/>
        </w:rPr>
        <w:t>134,6</w:t>
      </w:r>
      <w:r w:rsidR="00CA4BFF">
        <w:rPr>
          <w:rFonts w:eastAsia="Calibri"/>
        </w:rPr>
        <w:t xml:space="preserve"> тыс. руб. (-</w:t>
      </w:r>
      <w:r w:rsidR="00FD403D">
        <w:rPr>
          <w:rFonts w:eastAsia="Calibri"/>
        </w:rPr>
        <w:t>2</w:t>
      </w:r>
      <w:r w:rsidR="00CA4BFF">
        <w:rPr>
          <w:rFonts w:eastAsia="Calibri"/>
        </w:rPr>
        <w:t>%) к прогнозу 202</w:t>
      </w:r>
      <w:r w:rsidR="00FD39D7">
        <w:rPr>
          <w:rFonts w:eastAsia="Calibri"/>
        </w:rPr>
        <w:t>5</w:t>
      </w:r>
      <w:r w:rsidR="00CA4BFF">
        <w:rPr>
          <w:rFonts w:eastAsia="Calibri"/>
        </w:rPr>
        <w:t xml:space="preserve"> года)</w:t>
      </w:r>
      <w:r w:rsidR="00B139DA" w:rsidRPr="00D972AF">
        <w:rPr>
          <w:rFonts w:eastAsia="Calibri"/>
        </w:rPr>
        <w:t xml:space="preserve">, в том числе налоговые и неналоговые доходы – </w:t>
      </w:r>
      <w:r w:rsidR="00FD403D">
        <w:rPr>
          <w:rFonts w:eastAsia="Calibri"/>
        </w:rPr>
        <w:t>552,8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FD403D">
        <w:rPr>
          <w:rFonts w:eastAsia="Calibri"/>
        </w:rPr>
        <w:t>8,3</w:t>
      </w:r>
      <w:r w:rsidR="00B139DA" w:rsidRPr="00D972AF">
        <w:rPr>
          <w:rFonts w:eastAsia="Calibri"/>
        </w:rPr>
        <w:t xml:space="preserve">%), безвозмездные поступления </w:t>
      </w:r>
      <w:r w:rsidR="00B139DA">
        <w:rPr>
          <w:rFonts w:eastAsia="Calibri"/>
        </w:rPr>
        <w:t xml:space="preserve">– </w:t>
      </w:r>
      <w:r w:rsidR="00FD403D">
        <w:rPr>
          <w:rFonts w:eastAsia="Calibri"/>
        </w:rPr>
        <w:t>6103,7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FD403D">
        <w:rPr>
          <w:rFonts w:eastAsia="Calibri"/>
        </w:rPr>
        <w:t>91,7</w:t>
      </w:r>
      <w:r w:rsidR="00B139DA" w:rsidRPr="00D972AF">
        <w:rPr>
          <w:rFonts w:eastAsia="Calibri"/>
        </w:rPr>
        <w:t>%).</w:t>
      </w:r>
    </w:p>
    <w:p w:rsidR="0044286D" w:rsidRDefault="0044286D" w:rsidP="0044286D">
      <w:pPr>
        <w:widowControl w:val="0"/>
        <w:numPr>
          <w:ilvl w:val="12"/>
          <w:numId w:val="0"/>
        </w:numPr>
        <w:ind w:firstLine="720"/>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634" w:type="dxa"/>
        <w:tblInd w:w="113" w:type="dxa"/>
        <w:tblLook w:val="04A0" w:firstRow="1" w:lastRow="0" w:firstColumn="1" w:lastColumn="0" w:noHBand="0" w:noVBand="1"/>
      </w:tblPr>
      <w:tblGrid>
        <w:gridCol w:w="2352"/>
        <w:gridCol w:w="1250"/>
        <w:gridCol w:w="958"/>
        <w:gridCol w:w="956"/>
        <w:gridCol w:w="754"/>
        <w:gridCol w:w="925"/>
        <w:gridCol w:w="754"/>
        <w:gridCol w:w="931"/>
        <w:gridCol w:w="754"/>
      </w:tblGrid>
      <w:tr w:rsidR="00FC2C59" w:rsidRPr="006D09CC" w:rsidTr="00933D18">
        <w:trPr>
          <w:cantSplit/>
          <w:trHeight w:val="510"/>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Оценка ожидаемого исполнения 202</w:t>
            </w:r>
            <w:r w:rsidR="000271E8">
              <w:rPr>
                <w:sz w:val="20"/>
                <w:szCs w:val="20"/>
              </w:rPr>
              <w:t>3</w:t>
            </w:r>
            <w:r w:rsidRPr="006D09CC">
              <w:rPr>
                <w:sz w:val="20"/>
                <w:szCs w:val="20"/>
              </w:rPr>
              <w:t xml:space="preserve"> года</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4</w:t>
            </w:r>
            <w:r w:rsidRPr="006D09CC">
              <w:rPr>
                <w:sz w:val="20"/>
                <w:szCs w:val="20"/>
              </w:rPr>
              <w:t>г., прогноз</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 -), тыс. руб.</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5</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6</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r>
      <w:tr w:rsidR="00FC2C59" w:rsidRPr="006D09CC" w:rsidTr="00933D18">
        <w:trPr>
          <w:cantSplit/>
          <w:trHeight w:val="16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C064DB" w:rsidRDefault="00FC2C59" w:rsidP="00FC2C59">
            <w:pPr>
              <w:widowControl w:val="0"/>
              <w:numPr>
                <w:ilvl w:val="12"/>
                <w:numId w:val="0"/>
              </w:numPr>
              <w:rPr>
                <w:b/>
                <w:sz w:val="18"/>
                <w:szCs w:val="18"/>
              </w:rPr>
            </w:pPr>
            <w:r>
              <w:rPr>
                <w:b/>
                <w:sz w:val="18"/>
                <w:szCs w:val="18"/>
              </w:rPr>
              <w:t>ВСЕГО ДОХОДОВ</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3324C" w:rsidP="00FD37F5">
            <w:pPr>
              <w:jc w:val="center"/>
              <w:rPr>
                <w:i/>
                <w:iCs/>
                <w:sz w:val="20"/>
                <w:szCs w:val="20"/>
              </w:rPr>
            </w:pPr>
            <w:r>
              <w:rPr>
                <w:i/>
                <w:iCs/>
                <w:sz w:val="20"/>
                <w:szCs w:val="20"/>
              </w:rPr>
              <w:t>17002,9</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i/>
                <w:iCs/>
                <w:sz w:val="20"/>
                <w:szCs w:val="20"/>
              </w:rPr>
            </w:pPr>
            <w:r>
              <w:rPr>
                <w:i/>
                <w:iCs/>
                <w:sz w:val="20"/>
                <w:szCs w:val="20"/>
              </w:rPr>
              <w:t>6763,4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i/>
                <w:iCs/>
                <w:sz w:val="20"/>
                <w:szCs w:val="20"/>
              </w:rPr>
            </w:pPr>
            <w:r>
              <w:rPr>
                <w:i/>
                <w:iCs/>
                <w:sz w:val="20"/>
                <w:szCs w:val="20"/>
              </w:rPr>
              <w:t>-10239,5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i/>
                <w:iCs/>
                <w:sz w:val="20"/>
                <w:szCs w:val="20"/>
              </w:rPr>
            </w:pPr>
            <w:r>
              <w:rPr>
                <w:i/>
                <w:iCs/>
                <w:sz w:val="20"/>
                <w:szCs w:val="20"/>
              </w:rPr>
              <w:t>39,8</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i/>
                <w:iCs/>
                <w:sz w:val="20"/>
                <w:szCs w:val="20"/>
              </w:rPr>
            </w:pPr>
            <w:r>
              <w:rPr>
                <w:i/>
                <w:iCs/>
                <w:sz w:val="20"/>
                <w:szCs w:val="20"/>
              </w:rPr>
              <w:t>6791,1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i/>
                <w:iCs/>
                <w:sz w:val="20"/>
                <w:szCs w:val="20"/>
              </w:rPr>
            </w:pPr>
            <w:r>
              <w:rPr>
                <w:i/>
                <w:iCs/>
                <w:sz w:val="20"/>
                <w:szCs w:val="20"/>
              </w:rPr>
              <w:t>100,4</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i/>
                <w:iCs/>
                <w:sz w:val="20"/>
                <w:szCs w:val="20"/>
              </w:rPr>
            </w:pPr>
            <w:r>
              <w:rPr>
                <w:i/>
                <w:iCs/>
                <w:sz w:val="20"/>
                <w:szCs w:val="20"/>
              </w:rPr>
              <w:t>6656,5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i/>
                <w:iCs/>
                <w:sz w:val="20"/>
                <w:szCs w:val="20"/>
              </w:rPr>
            </w:pPr>
            <w:r>
              <w:rPr>
                <w:i/>
                <w:iCs/>
                <w:sz w:val="20"/>
                <w:szCs w:val="20"/>
              </w:rPr>
              <w:t>98</w:t>
            </w:r>
          </w:p>
        </w:tc>
      </w:tr>
      <w:tr w:rsidR="00FC2C59" w:rsidRPr="006D09CC" w:rsidTr="00933D18">
        <w:trPr>
          <w:cantSplit/>
          <w:trHeight w:val="29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Налоговые и неналоговые доходы,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3324C" w:rsidP="00FC2C59">
            <w:pPr>
              <w:jc w:val="center"/>
              <w:rPr>
                <w:sz w:val="20"/>
                <w:szCs w:val="20"/>
              </w:rPr>
            </w:pPr>
            <w:r>
              <w:rPr>
                <w:sz w:val="20"/>
                <w:szCs w:val="20"/>
              </w:rPr>
              <w:t>503,5</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519</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15,5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103,1</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534,9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103,1</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552,8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103,3</w:t>
            </w:r>
          </w:p>
        </w:tc>
      </w:tr>
      <w:tr w:rsidR="00FC2C59" w:rsidRPr="006D09CC" w:rsidTr="00933D18">
        <w:trPr>
          <w:cantSplit/>
          <w:trHeight w:val="416"/>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3324C" w:rsidP="00FC2C59">
            <w:pPr>
              <w:jc w:val="center"/>
              <w:rPr>
                <w:sz w:val="20"/>
                <w:szCs w:val="20"/>
              </w:rPr>
            </w:pPr>
            <w:r>
              <w:rPr>
                <w:sz w:val="20"/>
                <w:szCs w:val="20"/>
              </w:rPr>
              <w:t>121</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126</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104,1</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131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104</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136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103,8</w:t>
            </w:r>
          </w:p>
        </w:tc>
      </w:tr>
      <w:tr w:rsidR="00FC2C59"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товары (работы, услуги), реализуемые на территории РФ</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3324C" w:rsidP="00FC2C59">
            <w:pPr>
              <w:jc w:val="center"/>
              <w:rPr>
                <w:sz w:val="20"/>
                <w:szCs w:val="20"/>
              </w:rPr>
            </w:pPr>
            <w:r>
              <w:rPr>
                <w:sz w:val="20"/>
                <w:szCs w:val="20"/>
              </w:rPr>
              <w:t>346</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360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14</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104</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370,9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383,8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103,5</w:t>
            </w:r>
          </w:p>
        </w:tc>
      </w:tr>
      <w:tr w:rsidR="00F3324C"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tcPr>
          <w:p w:rsidR="00F3324C" w:rsidRPr="003831EF" w:rsidRDefault="00F3324C" w:rsidP="00FC2C59">
            <w:pPr>
              <w:snapToGrid w:val="0"/>
              <w:rPr>
                <w:sz w:val="18"/>
                <w:szCs w:val="18"/>
              </w:rPr>
            </w:pPr>
            <w:r>
              <w:rPr>
                <w:sz w:val="18"/>
                <w:szCs w:val="18"/>
              </w:rPr>
              <w:t>Налог</w:t>
            </w:r>
            <w:r w:rsidR="00990842">
              <w:rPr>
                <w:sz w:val="18"/>
                <w:szCs w:val="18"/>
              </w:rPr>
              <w:t>и</w:t>
            </w:r>
            <w:r>
              <w:rPr>
                <w:sz w:val="18"/>
                <w:szCs w:val="18"/>
              </w:rPr>
              <w:t xml:space="preserve"> на совокупный доход (ЕСН)</w:t>
            </w:r>
          </w:p>
        </w:tc>
        <w:tc>
          <w:tcPr>
            <w:tcW w:w="1250" w:type="dxa"/>
            <w:tcBorders>
              <w:top w:val="nil"/>
              <w:left w:val="nil"/>
              <w:bottom w:val="single" w:sz="4" w:space="0" w:color="auto"/>
              <w:right w:val="single" w:sz="4" w:space="0" w:color="auto"/>
            </w:tcBorders>
            <w:shd w:val="clear" w:color="auto" w:fill="auto"/>
            <w:vAlign w:val="center"/>
          </w:tcPr>
          <w:p w:rsidR="00F3324C" w:rsidRDefault="00FA451B" w:rsidP="00FC2C59">
            <w:pPr>
              <w:jc w:val="center"/>
              <w:rPr>
                <w:sz w:val="20"/>
                <w:szCs w:val="20"/>
              </w:rPr>
            </w:pPr>
            <w:r>
              <w:rPr>
                <w:sz w:val="20"/>
                <w:szCs w:val="20"/>
              </w:rPr>
              <w:t>8,5</w:t>
            </w:r>
          </w:p>
        </w:tc>
        <w:tc>
          <w:tcPr>
            <w:tcW w:w="958" w:type="dxa"/>
            <w:tcBorders>
              <w:top w:val="nil"/>
              <w:left w:val="nil"/>
              <w:bottom w:val="single" w:sz="4" w:space="0" w:color="auto"/>
              <w:right w:val="single" w:sz="4" w:space="0" w:color="auto"/>
            </w:tcBorders>
            <w:shd w:val="clear" w:color="auto" w:fill="auto"/>
            <w:vAlign w:val="center"/>
          </w:tcPr>
          <w:p w:rsidR="00F3324C" w:rsidRPr="006D09CC" w:rsidRDefault="00FA451B" w:rsidP="00FC2C59">
            <w:pPr>
              <w:jc w:val="center"/>
              <w:rPr>
                <w:sz w:val="20"/>
                <w:szCs w:val="20"/>
              </w:rPr>
            </w:pPr>
            <w:r>
              <w:rPr>
                <w:sz w:val="20"/>
                <w:szCs w:val="20"/>
              </w:rPr>
              <w:t>5</w:t>
            </w:r>
          </w:p>
        </w:tc>
        <w:tc>
          <w:tcPr>
            <w:tcW w:w="956" w:type="dxa"/>
            <w:tcBorders>
              <w:top w:val="nil"/>
              <w:left w:val="nil"/>
              <w:bottom w:val="single" w:sz="4" w:space="0" w:color="auto"/>
              <w:right w:val="single" w:sz="4" w:space="0" w:color="auto"/>
            </w:tcBorders>
            <w:shd w:val="clear" w:color="auto" w:fill="auto"/>
            <w:vAlign w:val="center"/>
          </w:tcPr>
          <w:p w:rsidR="00F3324C" w:rsidRPr="006D09CC" w:rsidRDefault="00AB48DA" w:rsidP="00FC2C59">
            <w:pPr>
              <w:jc w:val="center"/>
              <w:rPr>
                <w:sz w:val="20"/>
                <w:szCs w:val="20"/>
              </w:rPr>
            </w:pPr>
            <w:r>
              <w:rPr>
                <w:sz w:val="20"/>
                <w:szCs w:val="20"/>
              </w:rPr>
              <w:t>-3,5</w:t>
            </w:r>
          </w:p>
        </w:tc>
        <w:tc>
          <w:tcPr>
            <w:tcW w:w="754" w:type="dxa"/>
            <w:tcBorders>
              <w:top w:val="nil"/>
              <w:left w:val="nil"/>
              <w:bottom w:val="single" w:sz="4" w:space="0" w:color="auto"/>
              <w:right w:val="single" w:sz="4" w:space="0" w:color="auto"/>
            </w:tcBorders>
            <w:shd w:val="clear" w:color="auto" w:fill="auto"/>
            <w:vAlign w:val="center"/>
          </w:tcPr>
          <w:p w:rsidR="00F3324C" w:rsidRPr="006D09CC" w:rsidRDefault="00AB48DA" w:rsidP="00FC2C59">
            <w:pPr>
              <w:jc w:val="center"/>
              <w:rPr>
                <w:sz w:val="20"/>
                <w:szCs w:val="20"/>
              </w:rPr>
            </w:pPr>
            <w:r>
              <w:rPr>
                <w:sz w:val="20"/>
                <w:szCs w:val="20"/>
              </w:rPr>
              <w:t>58,8</w:t>
            </w:r>
          </w:p>
        </w:tc>
        <w:tc>
          <w:tcPr>
            <w:tcW w:w="925" w:type="dxa"/>
            <w:tcBorders>
              <w:top w:val="nil"/>
              <w:left w:val="nil"/>
              <w:bottom w:val="single" w:sz="4" w:space="0" w:color="auto"/>
              <w:right w:val="single" w:sz="4" w:space="0" w:color="auto"/>
            </w:tcBorders>
            <w:shd w:val="clear" w:color="auto" w:fill="auto"/>
            <w:vAlign w:val="center"/>
          </w:tcPr>
          <w:p w:rsidR="00F3324C" w:rsidRPr="006D09CC" w:rsidRDefault="00C505FA" w:rsidP="00FC2C59">
            <w:pPr>
              <w:jc w:val="center"/>
              <w:rPr>
                <w:sz w:val="20"/>
                <w:szCs w:val="20"/>
              </w:rPr>
            </w:pPr>
            <w:r>
              <w:rPr>
                <w:sz w:val="20"/>
                <w:szCs w:val="20"/>
              </w:rPr>
              <w:t>5</w:t>
            </w:r>
          </w:p>
        </w:tc>
        <w:tc>
          <w:tcPr>
            <w:tcW w:w="754" w:type="dxa"/>
            <w:tcBorders>
              <w:top w:val="nil"/>
              <w:left w:val="nil"/>
              <w:bottom w:val="single" w:sz="4" w:space="0" w:color="auto"/>
              <w:right w:val="single" w:sz="4" w:space="0" w:color="auto"/>
            </w:tcBorders>
            <w:shd w:val="clear" w:color="auto" w:fill="auto"/>
            <w:vAlign w:val="center"/>
          </w:tcPr>
          <w:p w:rsidR="00F3324C" w:rsidRPr="006D09CC" w:rsidRDefault="00AB48DA" w:rsidP="00FC2C59">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3324C" w:rsidRPr="006D09CC" w:rsidRDefault="00C505FA" w:rsidP="00FC2C59">
            <w:pPr>
              <w:jc w:val="center"/>
              <w:rPr>
                <w:sz w:val="20"/>
                <w:szCs w:val="20"/>
              </w:rPr>
            </w:pPr>
            <w:r>
              <w:rPr>
                <w:sz w:val="20"/>
                <w:szCs w:val="20"/>
              </w:rPr>
              <w:t>5</w:t>
            </w:r>
          </w:p>
        </w:tc>
        <w:tc>
          <w:tcPr>
            <w:tcW w:w="754" w:type="dxa"/>
            <w:tcBorders>
              <w:top w:val="nil"/>
              <w:left w:val="nil"/>
              <w:bottom w:val="single" w:sz="4" w:space="0" w:color="auto"/>
              <w:right w:val="single" w:sz="4" w:space="0" w:color="auto"/>
            </w:tcBorders>
            <w:shd w:val="clear" w:color="auto" w:fill="auto"/>
            <w:vAlign w:val="center"/>
          </w:tcPr>
          <w:p w:rsidR="00F3324C" w:rsidRPr="006D09CC" w:rsidRDefault="00AB48DA" w:rsidP="00FC2C59">
            <w:pPr>
              <w:jc w:val="center"/>
              <w:rPr>
                <w:sz w:val="20"/>
                <w:szCs w:val="20"/>
              </w:rPr>
            </w:pPr>
            <w:r>
              <w:rPr>
                <w:sz w:val="20"/>
                <w:szCs w:val="20"/>
              </w:rPr>
              <w:t>100</w:t>
            </w:r>
          </w:p>
        </w:tc>
      </w:tr>
      <w:tr w:rsidR="00FC2C59" w:rsidRPr="006D09CC" w:rsidTr="00933D18">
        <w:trPr>
          <w:cantSplit/>
          <w:trHeight w:val="219"/>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lastRenderedPageBreak/>
              <w:t>Налоги на имущество,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3324C" w:rsidP="00FC2C59">
            <w:pPr>
              <w:jc w:val="center"/>
              <w:rPr>
                <w:sz w:val="20"/>
                <w:szCs w:val="20"/>
              </w:rPr>
            </w:pPr>
            <w:r>
              <w:rPr>
                <w:sz w:val="20"/>
                <w:szCs w:val="20"/>
              </w:rPr>
              <w:t>27</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27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27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27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100</w:t>
            </w:r>
          </w:p>
        </w:tc>
      </w:tr>
      <w:tr w:rsidR="00BE0174" w:rsidRPr="006D09CC" w:rsidTr="00933D18">
        <w:trPr>
          <w:cantSplit/>
          <w:trHeight w:val="300"/>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autoSpaceDE w:val="0"/>
              <w:autoSpaceDN w:val="0"/>
              <w:adjustRightInd w:val="0"/>
              <w:rPr>
                <w:i/>
                <w:sz w:val="18"/>
                <w:szCs w:val="18"/>
              </w:rPr>
            </w:pPr>
            <w:r w:rsidRPr="003831EF">
              <w:rPr>
                <w:i/>
                <w:sz w:val="18"/>
                <w:szCs w:val="18"/>
              </w:rPr>
              <w:t>- 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F3324C" w:rsidP="00BE0174">
            <w:pPr>
              <w:jc w:val="right"/>
              <w:rPr>
                <w:i/>
                <w:sz w:val="20"/>
                <w:szCs w:val="20"/>
              </w:rPr>
            </w:pPr>
            <w:r>
              <w:rPr>
                <w:i/>
                <w:sz w:val="20"/>
                <w:szCs w:val="20"/>
              </w:rPr>
              <w:t>2</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FA451B" w:rsidP="00BE0174">
            <w:pPr>
              <w:jc w:val="right"/>
              <w:rPr>
                <w:i/>
                <w:sz w:val="20"/>
                <w:szCs w:val="20"/>
              </w:rPr>
            </w:pPr>
            <w:r>
              <w:rPr>
                <w:i/>
                <w:sz w:val="20"/>
                <w:szCs w:val="20"/>
              </w:rPr>
              <w:t>1</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sz w:val="20"/>
                <w:szCs w:val="20"/>
              </w:rPr>
            </w:pPr>
            <w:r>
              <w:rPr>
                <w:i/>
                <w:sz w:val="20"/>
                <w:szCs w:val="20"/>
              </w:rPr>
              <w:t>-1</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sz w:val="20"/>
                <w:szCs w:val="20"/>
              </w:rPr>
            </w:pPr>
            <w:r>
              <w:rPr>
                <w:i/>
                <w:sz w:val="20"/>
                <w:szCs w:val="20"/>
              </w:rPr>
              <w:t>50</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C505FA" w:rsidP="00BE0174">
            <w:pPr>
              <w:jc w:val="right"/>
              <w:rPr>
                <w:i/>
                <w:sz w:val="20"/>
                <w:szCs w:val="20"/>
              </w:rPr>
            </w:pPr>
            <w:r>
              <w:rPr>
                <w:i/>
                <w:sz w:val="20"/>
                <w:szCs w:val="20"/>
              </w:rPr>
              <w:t>1</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C505FA" w:rsidP="00BE0174">
            <w:pPr>
              <w:jc w:val="right"/>
              <w:rPr>
                <w:i/>
                <w:sz w:val="20"/>
                <w:szCs w:val="20"/>
              </w:rPr>
            </w:pPr>
            <w:r>
              <w:rPr>
                <w:i/>
                <w:sz w:val="20"/>
                <w:szCs w:val="20"/>
              </w:rPr>
              <w:t>1</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sz w:val="20"/>
                <w:szCs w:val="20"/>
              </w:rPr>
            </w:pPr>
            <w:r>
              <w:rPr>
                <w:i/>
                <w:sz w:val="20"/>
                <w:szCs w:val="20"/>
              </w:rPr>
              <w:t>100</w:t>
            </w:r>
          </w:p>
        </w:tc>
      </w:tr>
      <w:tr w:rsidR="00BE0174" w:rsidRPr="006D09CC" w:rsidTr="00933D18">
        <w:trPr>
          <w:cantSplit/>
          <w:trHeight w:val="33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земельный налог с организаций</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F3324C" w:rsidP="00BE0174">
            <w:pPr>
              <w:jc w:val="right"/>
              <w:rPr>
                <w:i/>
                <w:sz w:val="20"/>
                <w:szCs w:val="20"/>
              </w:rPr>
            </w:pPr>
            <w:r>
              <w:rPr>
                <w:i/>
                <w:sz w:val="20"/>
                <w:szCs w:val="20"/>
              </w:rPr>
              <w:t>12</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FA451B" w:rsidP="00BE0174">
            <w:pPr>
              <w:jc w:val="right"/>
              <w:rPr>
                <w:i/>
                <w:sz w:val="20"/>
                <w:szCs w:val="20"/>
              </w:rPr>
            </w:pPr>
            <w:r>
              <w:rPr>
                <w:i/>
                <w:sz w:val="20"/>
                <w:szCs w:val="20"/>
              </w:rPr>
              <w:t>12</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sz w:val="20"/>
                <w:szCs w:val="20"/>
              </w:rPr>
            </w:pPr>
            <w:r>
              <w:rPr>
                <w:i/>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sz w:val="20"/>
                <w:szCs w:val="20"/>
              </w:rPr>
            </w:pPr>
            <w:r>
              <w:rPr>
                <w:i/>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C505FA" w:rsidP="00BE0174">
            <w:pPr>
              <w:jc w:val="right"/>
              <w:rPr>
                <w:i/>
                <w:sz w:val="20"/>
                <w:szCs w:val="20"/>
              </w:rPr>
            </w:pPr>
            <w:r>
              <w:rPr>
                <w:i/>
                <w:sz w:val="20"/>
                <w:szCs w:val="20"/>
              </w:rPr>
              <w:t>12</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C505FA" w:rsidP="00BE0174">
            <w:pPr>
              <w:jc w:val="right"/>
              <w:rPr>
                <w:i/>
                <w:sz w:val="20"/>
                <w:szCs w:val="20"/>
              </w:rPr>
            </w:pPr>
            <w:r>
              <w:rPr>
                <w:i/>
                <w:sz w:val="20"/>
                <w:szCs w:val="20"/>
              </w:rPr>
              <w:t>12</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sz w:val="20"/>
                <w:szCs w:val="20"/>
              </w:rPr>
            </w:pPr>
            <w:r>
              <w:rPr>
                <w:i/>
                <w:sz w:val="20"/>
                <w:szCs w:val="20"/>
              </w:rPr>
              <w:t>100</w:t>
            </w:r>
          </w:p>
        </w:tc>
      </w:tr>
      <w:tr w:rsidR="00BE0174" w:rsidRPr="006D09CC" w:rsidTr="00933D18">
        <w:trPr>
          <w:cantSplit/>
          <w:trHeight w:val="26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xml:space="preserve">- земельный налог с </w:t>
            </w:r>
            <w:proofErr w:type="spellStart"/>
            <w:r w:rsidRPr="003831EF">
              <w:rPr>
                <w:i/>
                <w:sz w:val="18"/>
                <w:szCs w:val="18"/>
              </w:rPr>
              <w:t>физ.лиц</w:t>
            </w:r>
            <w:proofErr w:type="spellEnd"/>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F3324C" w:rsidP="00BE0174">
            <w:pPr>
              <w:jc w:val="right"/>
              <w:rPr>
                <w:i/>
                <w:iCs/>
                <w:sz w:val="20"/>
                <w:szCs w:val="20"/>
              </w:rPr>
            </w:pPr>
            <w:r>
              <w:rPr>
                <w:i/>
                <w:iCs/>
                <w:sz w:val="20"/>
                <w:szCs w:val="20"/>
              </w:rPr>
              <w:t>13</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FA451B" w:rsidP="00BE0174">
            <w:pPr>
              <w:jc w:val="right"/>
              <w:rPr>
                <w:i/>
                <w:iCs/>
                <w:sz w:val="20"/>
                <w:szCs w:val="20"/>
              </w:rPr>
            </w:pPr>
            <w:r>
              <w:rPr>
                <w:i/>
                <w:iCs/>
                <w:sz w:val="20"/>
                <w:szCs w:val="20"/>
              </w:rPr>
              <w:t>14</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iCs/>
                <w:sz w:val="20"/>
                <w:szCs w:val="20"/>
              </w:rPr>
            </w:pPr>
            <w:r>
              <w:rPr>
                <w:i/>
                <w:iCs/>
                <w:sz w:val="20"/>
                <w:szCs w:val="20"/>
              </w:rPr>
              <w:t>1</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iCs/>
                <w:sz w:val="20"/>
                <w:szCs w:val="20"/>
              </w:rPr>
            </w:pPr>
            <w:r>
              <w:rPr>
                <w:i/>
                <w:iCs/>
                <w:sz w:val="20"/>
                <w:szCs w:val="20"/>
              </w:rPr>
              <w:t>107,7</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C505FA" w:rsidP="00BE0174">
            <w:pPr>
              <w:jc w:val="right"/>
              <w:rPr>
                <w:i/>
                <w:iCs/>
                <w:sz w:val="20"/>
                <w:szCs w:val="20"/>
              </w:rPr>
            </w:pPr>
            <w:r>
              <w:rPr>
                <w:i/>
                <w:iCs/>
                <w:sz w:val="20"/>
                <w:szCs w:val="20"/>
              </w:rPr>
              <w:t>14</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C505FA" w:rsidP="00BE0174">
            <w:pPr>
              <w:jc w:val="right"/>
              <w:rPr>
                <w:i/>
                <w:iCs/>
                <w:sz w:val="20"/>
                <w:szCs w:val="20"/>
              </w:rPr>
            </w:pPr>
            <w:r>
              <w:rPr>
                <w:i/>
                <w:iCs/>
                <w:sz w:val="20"/>
                <w:szCs w:val="20"/>
              </w:rPr>
              <w:t>14</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AB48DA" w:rsidP="00BE0174">
            <w:pPr>
              <w:jc w:val="right"/>
              <w:rPr>
                <w:i/>
                <w:iCs/>
                <w:sz w:val="20"/>
                <w:szCs w:val="20"/>
              </w:rPr>
            </w:pPr>
            <w:r>
              <w:rPr>
                <w:i/>
                <w:iCs/>
                <w:sz w:val="20"/>
                <w:szCs w:val="20"/>
              </w:rPr>
              <w:t>100</w:t>
            </w:r>
          </w:p>
        </w:tc>
      </w:tr>
      <w:tr w:rsidR="00BE0174" w:rsidRPr="006D09CC" w:rsidTr="00CD46AB">
        <w:trPr>
          <w:trHeight w:val="380"/>
        </w:trPr>
        <w:tc>
          <w:tcPr>
            <w:tcW w:w="2352" w:type="dxa"/>
            <w:tcBorders>
              <w:top w:val="nil"/>
              <w:left w:val="single" w:sz="4" w:space="0" w:color="auto"/>
              <w:bottom w:val="single" w:sz="4" w:space="0" w:color="auto"/>
              <w:right w:val="single" w:sz="4" w:space="0" w:color="auto"/>
            </w:tcBorders>
            <w:shd w:val="clear" w:color="auto" w:fill="auto"/>
            <w:vAlign w:val="bottom"/>
            <w:hideMark/>
          </w:tcPr>
          <w:p w:rsidR="00BE0174" w:rsidRPr="004A2CC3" w:rsidRDefault="00BE0174" w:rsidP="00BE0174">
            <w:pPr>
              <w:snapToGrid w:val="0"/>
              <w:rPr>
                <w:i/>
                <w:sz w:val="18"/>
                <w:szCs w:val="18"/>
              </w:rPr>
            </w:pPr>
            <w:r w:rsidRPr="004A2CC3">
              <w:rPr>
                <w:sz w:val="18"/>
                <w:szCs w:val="18"/>
              </w:rPr>
              <w:t>Доходы от оказания платных услуг и компенсации затрат государства</w:t>
            </w:r>
          </w:p>
        </w:tc>
        <w:tc>
          <w:tcPr>
            <w:tcW w:w="1250" w:type="dxa"/>
            <w:tcBorders>
              <w:top w:val="nil"/>
              <w:left w:val="nil"/>
              <w:bottom w:val="single" w:sz="4" w:space="0" w:color="auto"/>
              <w:right w:val="single" w:sz="4" w:space="0" w:color="auto"/>
            </w:tcBorders>
            <w:shd w:val="clear" w:color="auto" w:fill="auto"/>
            <w:vAlign w:val="center"/>
          </w:tcPr>
          <w:p w:rsidR="00BE0174" w:rsidRPr="006D09CC" w:rsidRDefault="00F3324C" w:rsidP="00BE0174">
            <w:pPr>
              <w:jc w:val="center"/>
              <w:rPr>
                <w:sz w:val="20"/>
                <w:szCs w:val="20"/>
              </w:rPr>
            </w:pPr>
            <w:r>
              <w:rPr>
                <w:sz w:val="20"/>
                <w:szCs w:val="20"/>
              </w:rPr>
              <w:t>1</w:t>
            </w:r>
          </w:p>
        </w:tc>
        <w:tc>
          <w:tcPr>
            <w:tcW w:w="958" w:type="dxa"/>
            <w:tcBorders>
              <w:top w:val="nil"/>
              <w:left w:val="nil"/>
              <w:bottom w:val="single" w:sz="4" w:space="0" w:color="auto"/>
              <w:right w:val="single" w:sz="4" w:space="0" w:color="auto"/>
            </w:tcBorders>
            <w:shd w:val="clear" w:color="auto" w:fill="auto"/>
            <w:vAlign w:val="center"/>
          </w:tcPr>
          <w:p w:rsidR="00BE0174" w:rsidRPr="006D09CC" w:rsidRDefault="00FA451B" w:rsidP="00BE0174">
            <w:pPr>
              <w:jc w:val="center"/>
              <w:rPr>
                <w:sz w:val="20"/>
                <w:szCs w:val="20"/>
              </w:rPr>
            </w:pPr>
            <w:r>
              <w:rPr>
                <w:sz w:val="20"/>
                <w:szCs w:val="20"/>
              </w:rPr>
              <w:t>1</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AB48DA" w:rsidP="00BE0174">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AB48DA" w:rsidP="00BE0174">
            <w:pPr>
              <w:jc w:val="center"/>
              <w:rPr>
                <w:sz w:val="20"/>
                <w:szCs w:val="20"/>
              </w:rPr>
            </w:pPr>
            <w:r>
              <w:rPr>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C505FA" w:rsidP="00BE0174">
            <w:pPr>
              <w:jc w:val="center"/>
              <w:rPr>
                <w:sz w:val="20"/>
                <w:szCs w:val="20"/>
              </w:rPr>
            </w:pPr>
            <w:r>
              <w:rPr>
                <w:sz w:val="20"/>
                <w:szCs w:val="20"/>
              </w:rPr>
              <w:t>1</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AB48DA" w:rsidP="00BE0174">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C505FA" w:rsidP="00BE0174">
            <w:pPr>
              <w:jc w:val="center"/>
              <w:rPr>
                <w:sz w:val="20"/>
                <w:szCs w:val="20"/>
              </w:rPr>
            </w:pPr>
            <w:r>
              <w:rPr>
                <w:sz w:val="20"/>
                <w:szCs w:val="20"/>
              </w:rPr>
              <w:t>1</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AB48DA" w:rsidP="00BE0174">
            <w:pPr>
              <w:jc w:val="center"/>
              <w:rPr>
                <w:sz w:val="20"/>
                <w:szCs w:val="20"/>
              </w:rPr>
            </w:pPr>
            <w:r>
              <w:rPr>
                <w:sz w:val="20"/>
                <w:szCs w:val="20"/>
              </w:rPr>
              <w:t>100</w:t>
            </w:r>
          </w:p>
        </w:tc>
      </w:tr>
      <w:tr w:rsidR="00FC2C59" w:rsidRPr="006D09CC" w:rsidTr="00933D18">
        <w:trPr>
          <w:cantSplit/>
          <w:trHeight w:val="36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Безвозмездные поступления,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A451B" w:rsidP="00842D85">
            <w:pPr>
              <w:jc w:val="center"/>
              <w:rPr>
                <w:sz w:val="20"/>
                <w:szCs w:val="20"/>
              </w:rPr>
            </w:pPr>
            <w:r>
              <w:rPr>
                <w:sz w:val="20"/>
                <w:szCs w:val="20"/>
              </w:rPr>
              <w:t>16499,4</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6244,4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-10255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37,8</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6256,2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100,2</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6103,7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100,2</w:t>
            </w:r>
          </w:p>
        </w:tc>
      </w:tr>
      <w:tr w:rsidR="00FC2C59" w:rsidRPr="006D09CC" w:rsidTr="00933D18">
        <w:trPr>
          <w:trHeight w:val="21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Дотации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5683</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4720,8</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-962,2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83,1</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sz w:val="20"/>
                <w:szCs w:val="20"/>
              </w:rPr>
            </w:pPr>
            <w:r>
              <w:rPr>
                <w:sz w:val="20"/>
                <w:szCs w:val="20"/>
              </w:rPr>
              <w:t>4200,7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89</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25156A" w:rsidP="00FC2C59">
            <w:pPr>
              <w:jc w:val="center"/>
              <w:rPr>
                <w:sz w:val="20"/>
                <w:szCs w:val="20"/>
              </w:rPr>
            </w:pPr>
            <w:r>
              <w:rPr>
                <w:sz w:val="20"/>
                <w:szCs w:val="20"/>
              </w:rPr>
              <w:t>3479,1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89</w:t>
            </w:r>
          </w:p>
        </w:tc>
      </w:tr>
      <w:tr w:rsidR="00FC2C59" w:rsidRPr="006D09CC" w:rsidTr="00933D18">
        <w:trPr>
          <w:cantSplit/>
          <w:trHeight w:val="11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Субсидии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i/>
                <w:iCs/>
                <w:sz w:val="20"/>
                <w:szCs w:val="20"/>
              </w:rPr>
            </w:pPr>
            <w:r>
              <w:rPr>
                <w:i/>
                <w:iCs/>
                <w:sz w:val="20"/>
                <w:szCs w:val="20"/>
              </w:rPr>
              <w:t>300</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i/>
                <w:iCs/>
                <w:sz w:val="20"/>
                <w:szCs w:val="20"/>
              </w:rPr>
            </w:pPr>
            <w:r>
              <w:rPr>
                <w:i/>
                <w:iCs/>
                <w:sz w:val="20"/>
                <w:szCs w:val="20"/>
              </w:rPr>
              <w:t>300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i/>
                <w:iCs/>
                <w:sz w:val="20"/>
                <w:szCs w:val="20"/>
              </w:rPr>
            </w:pPr>
            <w:r>
              <w:rPr>
                <w:i/>
                <w:iCs/>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FC2C59">
            <w:pPr>
              <w:jc w:val="center"/>
              <w:rPr>
                <w:i/>
                <w:iCs/>
                <w:sz w:val="20"/>
                <w:szCs w:val="20"/>
              </w:rPr>
            </w:pPr>
            <w:r>
              <w:rPr>
                <w:i/>
                <w:iCs/>
                <w:sz w:val="20"/>
                <w:szCs w:val="20"/>
              </w:rPr>
              <w:t>300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25156A" w:rsidP="00FC2C59">
            <w:pPr>
              <w:jc w:val="center"/>
              <w:rPr>
                <w:i/>
                <w:iCs/>
                <w:sz w:val="20"/>
                <w:szCs w:val="20"/>
              </w:rPr>
            </w:pPr>
            <w:r>
              <w:rPr>
                <w:i/>
                <w:iCs/>
                <w:sz w:val="20"/>
                <w:szCs w:val="20"/>
              </w:rPr>
              <w:t>300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i/>
                <w:iCs/>
                <w:sz w:val="20"/>
                <w:szCs w:val="20"/>
              </w:rPr>
            </w:pPr>
            <w:r>
              <w:rPr>
                <w:i/>
                <w:iCs/>
                <w:sz w:val="20"/>
                <w:szCs w:val="20"/>
              </w:rPr>
              <w:t>100</w:t>
            </w:r>
          </w:p>
        </w:tc>
      </w:tr>
      <w:tr w:rsidR="00FC2C59" w:rsidRPr="006D09CC" w:rsidTr="00933D18">
        <w:trPr>
          <w:cantSplit/>
          <w:trHeight w:val="14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Субвенции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174,4</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A451B" w:rsidP="00FC2C59">
            <w:pPr>
              <w:jc w:val="center"/>
              <w:rPr>
                <w:sz w:val="20"/>
                <w:szCs w:val="20"/>
              </w:rPr>
            </w:pPr>
            <w:r>
              <w:rPr>
                <w:sz w:val="20"/>
                <w:szCs w:val="20"/>
              </w:rPr>
              <w:t>183,4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105,2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C505FA" w:rsidP="00C505FA">
            <w:pPr>
              <w:jc w:val="center"/>
              <w:rPr>
                <w:sz w:val="20"/>
                <w:szCs w:val="20"/>
              </w:rPr>
            </w:pPr>
            <w:r>
              <w:rPr>
                <w:sz w:val="20"/>
                <w:szCs w:val="20"/>
              </w:rPr>
              <w:t>190,2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103,7</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25156A" w:rsidP="00FC2C59">
            <w:pPr>
              <w:jc w:val="center"/>
              <w:rPr>
                <w:sz w:val="20"/>
                <w:szCs w:val="20"/>
              </w:rPr>
            </w:pPr>
            <w:r>
              <w:rPr>
                <w:sz w:val="20"/>
                <w:szCs w:val="20"/>
              </w:rPr>
              <w:t>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AB48DA" w:rsidP="00FC2C59">
            <w:pPr>
              <w:jc w:val="center"/>
              <w:rPr>
                <w:sz w:val="20"/>
                <w:szCs w:val="20"/>
              </w:rPr>
            </w:pPr>
            <w:r>
              <w:rPr>
                <w:sz w:val="20"/>
                <w:szCs w:val="20"/>
              </w:rPr>
              <w:t>103,7</w:t>
            </w:r>
          </w:p>
        </w:tc>
      </w:tr>
      <w:tr w:rsidR="00BE0174" w:rsidRPr="006D09CC" w:rsidTr="00842D85">
        <w:trPr>
          <w:cantSplit/>
          <w:trHeight w:val="181"/>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widowControl w:val="0"/>
              <w:numPr>
                <w:ilvl w:val="12"/>
                <w:numId w:val="0"/>
              </w:numPr>
              <w:jc w:val="both"/>
              <w:rPr>
                <w:sz w:val="18"/>
                <w:szCs w:val="18"/>
              </w:rPr>
            </w:pPr>
            <w:r>
              <w:rPr>
                <w:sz w:val="18"/>
                <w:szCs w:val="18"/>
              </w:rPr>
              <w:t>Иные</w:t>
            </w:r>
            <w:r w:rsidRPr="003831EF">
              <w:rPr>
                <w:sz w:val="18"/>
                <w:szCs w:val="18"/>
              </w:rPr>
              <w:t xml:space="preserve"> МБТ </w:t>
            </w:r>
          </w:p>
        </w:tc>
        <w:tc>
          <w:tcPr>
            <w:tcW w:w="1250" w:type="dxa"/>
            <w:tcBorders>
              <w:top w:val="nil"/>
              <w:left w:val="nil"/>
              <w:bottom w:val="single" w:sz="4" w:space="0" w:color="auto"/>
              <w:right w:val="single" w:sz="4" w:space="0" w:color="auto"/>
            </w:tcBorders>
            <w:shd w:val="clear" w:color="auto" w:fill="auto"/>
            <w:noWrap/>
            <w:vAlign w:val="center"/>
          </w:tcPr>
          <w:p w:rsidR="00BE0174" w:rsidRPr="006D09CC" w:rsidRDefault="00FA451B" w:rsidP="00FA451B">
            <w:pPr>
              <w:jc w:val="center"/>
              <w:rPr>
                <w:sz w:val="20"/>
                <w:szCs w:val="20"/>
              </w:rPr>
            </w:pPr>
            <w:r>
              <w:rPr>
                <w:sz w:val="20"/>
                <w:szCs w:val="20"/>
              </w:rPr>
              <w:t>10342</w:t>
            </w:r>
          </w:p>
        </w:tc>
        <w:tc>
          <w:tcPr>
            <w:tcW w:w="958" w:type="dxa"/>
            <w:tcBorders>
              <w:top w:val="nil"/>
              <w:left w:val="nil"/>
              <w:bottom w:val="single" w:sz="4" w:space="0" w:color="auto"/>
              <w:right w:val="single" w:sz="4" w:space="0" w:color="auto"/>
            </w:tcBorders>
            <w:shd w:val="clear" w:color="auto" w:fill="auto"/>
            <w:noWrap/>
            <w:vAlign w:val="center"/>
          </w:tcPr>
          <w:p w:rsidR="00BE0174" w:rsidRPr="006D09CC" w:rsidRDefault="00FA451B" w:rsidP="00BE0174">
            <w:pPr>
              <w:jc w:val="center"/>
              <w:rPr>
                <w:sz w:val="20"/>
                <w:szCs w:val="20"/>
              </w:rPr>
            </w:pPr>
            <w:r>
              <w:rPr>
                <w:sz w:val="20"/>
                <w:szCs w:val="20"/>
              </w:rPr>
              <w:t>1040,2</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AB48DA" w:rsidP="00BE0174">
            <w:pPr>
              <w:jc w:val="center"/>
              <w:rPr>
                <w:sz w:val="20"/>
                <w:szCs w:val="20"/>
              </w:rPr>
            </w:pPr>
            <w:r>
              <w:rPr>
                <w:sz w:val="20"/>
                <w:szCs w:val="20"/>
              </w:rPr>
              <w:t>-9301,8</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AB48DA" w:rsidP="00BE0174">
            <w:pPr>
              <w:jc w:val="center"/>
              <w:rPr>
                <w:sz w:val="20"/>
                <w:szCs w:val="20"/>
              </w:rPr>
            </w:pPr>
            <w:r>
              <w:rPr>
                <w:sz w:val="20"/>
                <w:szCs w:val="20"/>
              </w:rPr>
              <w:t>10,1</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C505FA" w:rsidP="00BE0174">
            <w:pPr>
              <w:jc w:val="center"/>
              <w:rPr>
                <w:sz w:val="20"/>
                <w:szCs w:val="20"/>
              </w:rPr>
            </w:pPr>
            <w:r>
              <w:rPr>
                <w:sz w:val="20"/>
                <w:szCs w:val="20"/>
              </w:rPr>
              <w:t>1565,3</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AB48DA" w:rsidP="00BE0174">
            <w:pPr>
              <w:jc w:val="center"/>
              <w:rPr>
                <w:sz w:val="20"/>
                <w:szCs w:val="20"/>
              </w:rPr>
            </w:pPr>
            <w:r>
              <w:rPr>
                <w:sz w:val="20"/>
                <w:szCs w:val="20"/>
              </w:rPr>
              <w:t>150,5</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25156A" w:rsidP="00BE0174">
            <w:pPr>
              <w:jc w:val="center"/>
              <w:rPr>
                <w:sz w:val="20"/>
                <w:szCs w:val="20"/>
              </w:rPr>
            </w:pPr>
            <w:r>
              <w:rPr>
                <w:sz w:val="20"/>
                <w:szCs w:val="20"/>
              </w:rPr>
              <w:t>2323,9</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AB48DA" w:rsidP="00BE0174">
            <w:pPr>
              <w:jc w:val="center"/>
              <w:rPr>
                <w:sz w:val="20"/>
                <w:szCs w:val="20"/>
              </w:rPr>
            </w:pPr>
            <w:r>
              <w:rPr>
                <w:sz w:val="20"/>
                <w:szCs w:val="20"/>
              </w:rPr>
              <w:t>150,5</w:t>
            </w:r>
          </w:p>
        </w:tc>
      </w:tr>
    </w:tbl>
    <w:p w:rsidR="00D511C8" w:rsidRDefault="00D511C8"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7" w:name="_GoBack"/>
      <w:bookmarkEnd w:id="7"/>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 </w:t>
      </w:r>
      <w:r w:rsidR="006C2B4B" w:rsidRPr="00300BDD">
        <w:t>налоги на товары (работы, услуги), реализуемые на территории РФ</w:t>
      </w:r>
      <w:r w:rsidR="006C2B4B" w:rsidRPr="006D09CC">
        <w:rPr>
          <w:bCs/>
        </w:rPr>
        <w:t xml:space="preserve"> </w:t>
      </w:r>
      <w:r w:rsidR="006C2B4B">
        <w:rPr>
          <w:bCs/>
        </w:rPr>
        <w:t>(далее – а</w:t>
      </w:r>
      <w:r w:rsidR="006C2B4B" w:rsidRPr="006D09CC">
        <w:rPr>
          <w:bCs/>
        </w:rPr>
        <w:t>кцизы)</w:t>
      </w:r>
      <w:r w:rsidR="006C2B4B">
        <w:rPr>
          <w:bCs/>
        </w:rPr>
        <w:t>:</w:t>
      </w:r>
      <w:r w:rsidR="006C2B4B" w:rsidRPr="00300BDD">
        <w:t xml:space="preserve"> </w:t>
      </w:r>
      <w:r w:rsidR="006C2B4B" w:rsidRPr="00297880">
        <w:t>в 202</w:t>
      </w:r>
      <w:r w:rsidR="006C2B4B">
        <w:t>4</w:t>
      </w:r>
      <w:r w:rsidR="006C2B4B" w:rsidRPr="00297880">
        <w:t xml:space="preserve"> году – </w:t>
      </w:r>
      <w:r w:rsidR="006C2B4B">
        <w:t>69,4</w:t>
      </w:r>
      <w:r w:rsidR="006C2B4B" w:rsidRPr="00297880">
        <w:t>% (или</w:t>
      </w:r>
      <w:r w:rsidR="006C2B4B">
        <w:t xml:space="preserve"> 360 тыс. руб.)</w:t>
      </w:r>
      <w:r w:rsidR="006C2B4B" w:rsidRPr="00466605">
        <w:t>, в 202</w:t>
      </w:r>
      <w:r w:rsidR="006C2B4B">
        <w:t>5г.</w:t>
      </w:r>
      <w:r w:rsidR="006C2B4B" w:rsidRPr="00466605">
        <w:t xml:space="preserve"> </w:t>
      </w:r>
      <w:r w:rsidR="006C2B4B">
        <w:t xml:space="preserve">– 69,3% (или 370,9 тыс. руб.), в 2026г. – 69,4% (или 383,8 тыс. руб.) и </w:t>
      </w:r>
      <w:r w:rsidRPr="00300BDD">
        <w:t>налоги на прибыль, доходы</w:t>
      </w:r>
      <w:r w:rsidRPr="00300BDD">
        <w:rPr>
          <w:bCs/>
        </w:rPr>
        <w:br/>
        <w:t>(далее – НДФЛ)</w:t>
      </w:r>
      <w:r w:rsidR="00300BDD">
        <w:rPr>
          <w:bCs/>
        </w:rPr>
        <w:t>:</w:t>
      </w:r>
      <w:r w:rsidR="00300BDD" w:rsidRPr="00300BDD">
        <w:t xml:space="preserve"> </w:t>
      </w:r>
      <w:r w:rsidR="00300BDD" w:rsidRPr="00297880">
        <w:t>в 202</w:t>
      </w:r>
      <w:r w:rsidR="00300BDD">
        <w:t>4</w:t>
      </w:r>
      <w:r w:rsidR="00300BDD" w:rsidRPr="00297880">
        <w:t xml:space="preserve"> году – </w:t>
      </w:r>
      <w:r w:rsidR="006C2B4B">
        <w:t>24,3</w:t>
      </w:r>
      <w:r w:rsidR="00300BDD" w:rsidRPr="00297880">
        <w:t>% (или</w:t>
      </w:r>
      <w:r w:rsidR="00300BDD">
        <w:t xml:space="preserve"> </w:t>
      </w:r>
      <w:r w:rsidR="006C2B4B">
        <w:t>126</w:t>
      </w:r>
      <w:r w:rsidR="00300BDD">
        <w:t xml:space="preserve"> тыс. руб.)</w:t>
      </w:r>
      <w:r w:rsidR="00300BDD" w:rsidRPr="00466605">
        <w:t>, в 202</w:t>
      </w:r>
      <w:r w:rsidR="00300BDD">
        <w:t>5г.</w:t>
      </w:r>
      <w:r w:rsidR="00300BDD" w:rsidRPr="00466605">
        <w:t xml:space="preserve"> </w:t>
      </w:r>
      <w:r w:rsidR="00300BDD">
        <w:t xml:space="preserve">– </w:t>
      </w:r>
      <w:r w:rsidR="006C2B4B">
        <w:t>24,5</w:t>
      </w:r>
      <w:r w:rsidR="00300BDD">
        <w:t xml:space="preserve">% (или </w:t>
      </w:r>
      <w:r w:rsidR="00783C54">
        <w:t>131</w:t>
      </w:r>
      <w:r w:rsidR="00300BDD">
        <w:t xml:space="preserve"> тыс. руб.), в 2026г. – </w:t>
      </w:r>
      <w:r w:rsidR="00783C54">
        <w:t>24,6</w:t>
      </w:r>
      <w:r w:rsidR="00300BDD">
        <w:t xml:space="preserve">% (или </w:t>
      </w:r>
      <w:r w:rsidR="00783C54">
        <w:t>136</w:t>
      </w:r>
      <w:r w:rsidR="00300BDD">
        <w:t xml:space="preserve"> тыс. руб.)</w:t>
      </w:r>
      <w:r w:rsidRPr="006D09CC">
        <w:rPr>
          <w:bCs/>
        </w:rPr>
        <w:t>.</w:t>
      </w:r>
    </w:p>
    <w:p w:rsidR="002C0E02" w:rsidRDefault="00211D25" w:rsidP="003F3E77">
      <w:pPr>
        <w:pStyle w:val="a9"/>
        <w:spacing w:after="0"/>
        <w:ind w:left="0" w:firstLine="709"/>
        <w:jc w:val="both"/>
        <w:rPr>
          <w:bCs/>
        </w:rPr>
      </w:pPr>
      <w:r w:rsidRPr="00DB3905">
        <w:rPr>
          <w:b/>
        </w:rPr>
        <w:t>Налоги на прибыль, доходы (НДФЛ).</w:t>
      </w:r>
      <w:r w:rsidRPr="00DB3905">
        <w:t xml:space="preserve"> </w:t>
      </w:r>
      <w:r w:rsidR="00853F08" w:rsidRPr="006D09CC">
        <w:rPr>
          <w:bCs/>
        </w:rPr>
        <w:t>Прогноз поступления НДФЛ в период бюджетного цикла 202</w:t>
      </w:r>
      <w:r w:rsidR="00853F08">
        <w:rPr>
          <w:bCs/>
        </w:rPr>
        <w:t>4-</w:t>
      </w:r>
      <w:r w:rsidR="00853F08" w:rsidRPr="006D09CC">
        <w:rPr>
          <w:bCs/>
        </w:rPr>
        <w:t>202</w:t>
      </w:r>
      <w:r w:rsidR="00853F08">
        <w:rPr>
          <w:bCs/>
        </w:rPr>
        <w:t>6</w:t>
      </w:r>
      <w:r w:rsidR="00853F08" w:rsidRPr="006D09CC">
        <w:rPr>
          <w:bCs/>
        </w:rPr>
        <w:t xml:space="preserve"> годов запланирован на основе ожидаемых поступлений 202</w:t>
      </w:r>
      <w:r w:rsidR="00853F08">
        <w:rPr>
          <w:bCs/>
        </w:rPr>
        <w:t>3</w:t>
      </w:r>
      <w:r w:rsidR="00853F08" w:rsidRPr="006D09CC">
        <w:rPr>
          <w:bCs/>
        </w:rPr>
        <w:t xml:space="preserve"> года с учетом прогнозируемого темпа роста фонда заработной платы в соответствии с показателями прогноза </w:t>
      </w:r>
      <w:r w:rsidR="00853F08">
        <w:rPr>
          <w:bCs/>
        </w:rPr>
        <w:t>СЭР</w:t>
      </w:r>
      <w:r w:rsidR="002C0E02">
        <w:rPr>
          <w:bCs/>
        </w:rPr>
        <w:t>:</w:t>
      </w:r>
    </w:p>
    <w:p w:rsidR="00853F08" w:rsidRDefault="002C0E02" w:rsidP="003F3E77">
      <w:pPr>
        <w:pStyle w:val="a9"/>
        <w:spacing w:after="0"/>
        <w:ind w:left="0" w:firstLine="709"/>
        <w:jc w:val="both"/>
      </w:pPr>
      <w:r>
        <w:rPr>
          <w:bCs/>
        </w:rPr>
        <w:t>-</w:t>
      </w:r>
      <w:r w:rsidR="003F3E77">
        <w:rPr>
          <w:bCs/>
        </w:rPr>
        <w:t xml:space="preserve"> </w:t>
      </w:r>
      <w:r w:rsidR="00853F08" w:rsidRPr="006D09CC">
        <w:t>на 202</w:t>
      </w:r>
      <w:r w:rsidR="00853F08">
        <w:t>4</w:t>
      </w:r>
      <w:r w:rsidR="00853F08" w:rsidRPr="006D09CC">
        <w:t xml:space="preserve"> год – </w:t>
      </w:r>
      <w:r w:rsidR="006A055E">
        <w:t>126</w:t>
      </w:r>
      <w:r w:rsidR="00853F08" w:rsidRPr="006D09CC">
        <w:t xml:space="preserve"> тыс. руб.</w:t>
      </w:r>
      <w:r w:rsidR="00853F08">
        <w:t>,</w:t>
      </w:r>
      <w:r w:rsidR="00853F08" w:rsidRPr="006D09CC">
        <w:t xml:space="preserve"> </w:t>
      </w:r>
      <w:r w:rsidR="00853F08">
        <w:t>р</w:t>
      </w:r>
      <w:r w:rsidR="00853F08" w:rsidRPr="006D09CC">
        <w:t>ост к ожидаемому поступлению 202</w:t>
      </w:r>
      <w:r w:rsidR="00853F08">
        <w:t>3</w:t>
      </w:r>
      <w:r w:rsidR="00853F08" w:rsidRPr="006D09CC">
        <w:t xml:space="preserve"> года – на </w:t>
      </w:r>
      <w:r w:rsidR="006A055E">
        <w:t>5</w:t>
      </w:r>
      <w:r w:rsidR="00853F08" w:rsidRPr="006D09CC">
        <w:t xml:space="preserve"> тыс. руб.</w:t>
      </w:r>
      <w:r w:rsidR="00853F08">
        <w:t>,</w:t>
      </w:r>
      <w:r w:rsidR="00853F08" w:rsidRPr="006D09CC">
        <w:t xml:space="preserve"> или </w:t>
      </w:r>
      <w:r w:rsidR="006A055E">
        <w:t>104,1</w:t>
      </w:r>
      <w:r w:rsidR="00853F08" w:rsidRPr="006D09CC">
        <w:t>%</w:t>
      </w:r>
      <w:r w:rsidR="00C872FE">
        <w:t>,</w:t>
      </w:r>
    </w:p>
    <w:p w:rsidR="002C0E02" w:rsidRDefault="002C0E02" w:rsidP="002C0E02">
      <w:pPr>
        <w:widowControl w:val="0"/>
        <w:numPr>
          <w:ilvl w:val="12"/>
          <w:numId w:val="0"/>
        </w:numPr>
        <w:ind w:firstLine="567"/>
        <w:jc w:val="both"/>
      </w:pPr>
      <w:r>
        <w:t>- на 2025 год в сумме 131 тыс. руб. (рост на 5 тыс. руб., или 104% к прогнозу</w:t>
      </w:r>
      <w:r w:rsidRPr="00A121E4">
        <w:t xml:space="preserve"> </w:t>
      </w:r>
      <w:r>
        <w:t xml:space="preserve">2024 года), </w:t>
      </w:r>
    </w:p>
    <w:p w:rsidR="002C0E02" w:rsidRDefault="002C0E02" w:rsidP="002C0E02">
      <w:pPr>
        <w:widowControl w:val="0"/>
        <w:numPr>
          <w:ilvl w:val="12"/>
          <w:numId w:val="0"/>
        </w:numPr>
        <w:ind w:firstLine="567"/>
        <w:jc w:val="both"/>
      </w:pPr>
      <w:r>
        <w:t>- на 2026 год в сумме 136 тыс. руб.</w:t>
      </w:r>
      <w:r w:rsidRPr="000B716C">
        <w:t xml:space="preserve"> </w:t>
      </w:r>
      <w:r>
        <w:t>(рост на 5 тыс. руб., или 103,8% к прогнозу</w:t>
      </w:r>
      <w:r w:rsidRPr="00A121E4">
        <w:t xml:space="preserve"> </w:t>
      </w:r>
      <w:r>
        <w:t>2025 года).</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AC241A">
        <w:t>Усть-Илгинского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3F3E77">
        <w:t>3</w:t>
      </w:r>
      <w:r w:rsidR="00AF0E60">
        <w:t>48</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AF0E60">
        <w:t>360</w:t>
      </w:r>
      <w:r w:rsidR="00314F7B">
        <w:t xml:space="preserve"> </w:t>
      </w:r>
      <w:r w:rsidR="00106633" w:rsidRPr="009B1744">
        <w:t xml:space="preserve">тыс.руб., </w:t>
      </w:r>
      <w:r w:rsidR="007E21DC">
        <w:t>с</w:t>
      </w:r>
      <w:r w:rsidR="00106633" w:rsidRPr="009B1744">
        <w:t xml:space="preserve"> </w:t>
      </w:r>
      <w:r w:rsidR="000B716C">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AF0E60">
        <w:t>14</w:t>
      </w:r>
      <w:r w:rsidR="003134B5">
        <w:t xml:space="preserve"> тыс.</w:t>
      </w:r>
      <w:r w:rsidR="00FD3805">
        <w:t xml:space="preserve"> </w:t>
      </w:r>
      <w:r w:rsidR="003134B5">
        <w:t>руб</w:t>
      </w:r>
      <w:r w:rsidR="003F736E">
        <w:t>лей</w:t>
      </w:r>
      <w:r w:rsidR="000B716C">
        <w:t xml:space="preserve">, или </w:t>
      </w:r>
      <w:r w:rsidR="003F3E77">
        <w:t>104</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BF2040">
        <w:t>370,9</w:t>
      </w:r>
      <w:r w:rsidR="0085426E">
        <w:t xml:space="preserve"> тыс. руб.</w:t>
      </w:r>
      <w:r w:rsidR="000B716C">
        <w:t xml:space="preserve"> (рост на </w:t>
      </w:r>
      <w:r w:rsidR="00BF2040">
        <w:t>10,9</w:t>
      </w:r>
      <w:r w:rsidR="000B716C">
        <w:t xml:space="preserve"> тыс. руб., или 103% к </w:t>
      </w:r>
      <w:r w:rsidR="00900CFE">
        <w:t>прогнозу</w:t>
      </w:r>
      <w:r w:rsidR="00900CFE" w:rsidRPr="00A121E4">
        <w:t xml:space="preserve"> </w:t>
      </w:r>
      <w:r w:rsidR="000B716C">
        <w:t xml:space="preserve">2024 </w:t>
      </w:r>
      <w:r w:rsidR="000B716C">
        <w:lastRenderedPageBreak/>
        <w:t>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BF2040">
        <w:t>383,8</w:t>
      </w:r>
      <w:r w:rsidR="0085426E">
        <w:t xml:space="preserve"> тыс. руб</w:t>
      </w:r>
      <w:r w:rsidR="003134B5">
        <w:t>.</w:t>
      </w:r>
      <w:r w:rsidR="000B716C" w:rsidRPr="000B716C">
        <w:t xml:space="preserve"> </w:t>
      </w:r>
      <w:r w:rsidR="000B716C">
        <w:t xml:space="preserve">(рост на </w:t>
      </w:r>
      <w:r w:rsidR="00BF2040">
        <w:t>12,9</w:t>
      </w:r>
      <w:r w:rsidR="003F3E77">
        <w:t xml:space="preserve"> тыс. руб., или 103,</w:t>
      </w:r>
      <w:r w:rsidR="00BF2040">
        <w:t>5</w:t>
      </w:r>
      <w:r w:rsidR="000B716C">
        <w:t xml:space="preserve">% к </w:t>
      </w:r>
      <w:r w:rsidR="00900CFE">
        <w:t>прогнозу</w:t>
      </w:r>
      <w:r w:rsidR="00900CFE" w:rsidRPr="00A121E4">
        <w:t xml:space="preserve"> </w:t>
      </w:r>
      <w:r w:rsidR="000B716C">
        <w:t>2025 год</w:t>
      </w:r>
      <w:r w:rsidR="00900CFE">
        <w:t>а</w:t>
      </w:r>
      <w:r w:rsidR="000B716C">
        <w:t>).</w:t>
      </w:r>
    </w:p>
    <w:p w:rsidR="00D07F4A" w:rsidRPr="007013D9" w:rsidRDefault="00D07F4A" w:rsidP="00D07F4A">
      <w:pPr>
        <w:pStyle w:val="a9"/>
        <w:spacing w:after="0"/>
        <w:ind w:left="0" w:firstLine="567"/>
        <w:jc w:val="both"/>
      </w:pPr>
      <w:r>
        <w:rPr>
          <w:b/>
        </w:rPr>
        <w:t xml:space="preserve">Налоги на совокупный доход </w:t>
      </w:r>
      <w:r>
        <w:t>прогнозируются в местном бюджете на 2024</w:t>
      </w:r>
      <w:r w:rsidRPr="007013D9">
        <w:t xml:space="preserve"> </w:t>
      </w:r>
      <w:r>
        <w:t>год и плановый период 2025-2026 годов в виде единого сельскохозяйственного налога (ЕСН) в сумме 5 тыс. руб., ежегодно, со снижением на 3,5 тыс. руб. (-41,2%) к оценке исполнения 2023 года</w:t>
      </w:r>
      <w:r w:rsidRPr="007013D9">
        <w:t xml:space="preserve"> </w:t>
      </w:r>
      <w:r>
        <w:t>(по данным администратора доходов – УФНС России по Иркутской области).</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D4356B">
        <w:t>2024-</w:t>
      </w:r>
      <w:r w:rsidR="00541773">
        <w:t>202</w:t>
      </w:r>
      <w:r w:rsidR="009A72B3">
        <w:t>6</w:t>
      </w:r>
      <w:r w:rsidRPr="00DB174C">
        <w:t xml:space="preserve"> год</w:t>
      </w:r>
      <w:r w:rsidR="00541773">
        <w:t>ы</w:t>
      </w:r>
      <w:r w:rsidRPr="00DB174C">
        <w:t xml:space="preserve"> в сумме </w:t>
      </w:r>
      <w:r w:rsidR="003F3E77">
        <w:t>27</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00D07F4A">
        <w:t>соответствуют</w:t>
      </w:r>
      <w:r w:rsidRPr="00DB174C">
        <w:t xml:space="preserve"> </w:t>
      </w:r>
      <w:r w:rsidR="00D4356B">
        <w:t>оценке исполнения</w:t>
      </w:r>
      <w:r w:rsidRPr="00DB174C">
        <w:t xml:space="preserve"> 20</w:t>
      </w:r>
      <w:r w:rsidR="00F173CF">
        <w:t>2</w:t>
      </w:r>
      <w:r w:rsidR="009A72B3">
        <w:t>3</w:t>
      </w:r>
      <w:r w:rsidRPr="00DB174C">
        <w:t xml:space="preserve"> года,</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D07F4A">
        <w:t>1</w:t>
      </w:r>
      <w:r w:rsidR="00DB174C" w:rsidRPr="00DB174C">
        <w:t xml:space="preserve"> </w:t>
      </w:r>
      <w:r w:rsidRPr="00DB174C">
        <w:t>тыс.</w:t>
      </w:r>
      <w:r w:rsidR="00541773">
        <w:t xml:space="preserve"> </w:t>
      </w:r>
      <w:r w:rsidRPr="00DB174C">
        <w:t>руб</w:t>
      </w:r>
      <w:r w:rsidR="00913187">
        <w:t>лей</w:t>
      </w:r>
      <w:r w:rsidR="00EC77A8">
        <w:t xml:space="preserve"> </w:t>
      </w:r>
      <w:r w:rsidR="004A0B5E">
        <w:t xml:space="preserve">ежегодно, </w:t>
      </w:r>
      <w:r w:rsidR="00D07F4A">
        <w:t>со снижением на 1 тыс. руб. (-50%)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3F3E77" w:rsidRDefault="00593D39" w:rsidP="003F3E77">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B7038A">
        <w:t>-202</w:t>
      </w:r>
      <w:r w:rsidR="004A0B5E">
        <w:t>6</w:t>
      </w:r>
      <w:r w:rsidR="0070250C" w:rsidRPr="00593D39">
        <w:t xml:space="preserve"> </w:t>
      </w:r>
      <w:r w:rsidR="00B7038A">
        <w:t>г</w:t>
      </w:r>
      <w:r w:rsidR="004A0B5E">
        <w:t>оды</w:t>
      </w:r>
      <w:r w:rsidR="0070250C" w:rsidRPr="00593D39">
        <w:t xml:space="preserve"> в сумме </w:t>
      </w:r>
      <w:r w:rsidR="00D07F4A">
        <w:t>12</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3F3E77">
        <w:t>соответствует уровню</w:t>
      </w:r>
      <w:r w:rsidR="003F3E77" w:rsidRPr="00DB174C">
        <w:t xml:space="preserve"> </w:t>
      </w:r>
      <w:r w:rsidR="003F3E77">
        <w:t>ожидаемых поступлений</w:t>
      </w:r>
      <w:r w:rsidR="003F3E77" w:rsidRPr="00DB174C">
        <w:t xml:space="preserve"> 20</w:t>
      </w:r>
      <w:r w:rsidR="003F3E77">
        <w:t>23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D07F4A">
        <w:t>14</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 xml:space="preserve">с </w:t>
      </w:r>
      <w:r w:rsidR="00D07F4A">
        <w:t>ростом</w:t>
      </w:r>
      <w:r w:rsidR="00C57715">
        <w:t xml:space="preserve"> 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C57715">
        <w:t xml:space="preserve"> на </w:t>
      </w:r>
      <w:r w:rsidR="00D07F4A">
        <w:t>1</w:t>
      </w:r>
      <w:r w:rsidR="00C57715">
        <w:t xml:space="preserve"> тыс. руб., или </w:t>
      </w:r>
      <w:r w:rsidR="00D07F4A">
        <w:t>107,7</w:t>
      </w:r>
      <w:r w:rsidR="00C57715">
        <w:t>%</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B316D5">
        <w:t>, недвижимости</w:t>
      </w:r>
      <w:r w:rsidR="0009782D">
        <w:t xml:space="preserve"> </w:t>
      </w:r>
      <w:r w:rsidR="003F3E77">
        <w:t>и утвержденных налоговых ставок</w:t>
      </w:r>
      <w:r w:rsidR="0009782D">
        <w:t>.</w:t>
      </w:r>
    </w:p>
    <w:p w:rsidR="003F3E77" w:rsidRDefault="00CD2B1D" w:rsidP="003F3E77">
      <w:pPr>
        <w:widowControl w:val="0"/>
        <w:numPr>
          <w:ilvl w:val="12"/>
          <w:numId w:val="0"/>
        </w:numPr>
        <w:ind w:firstLine="567"/>
        <w:jc w:val="both"/>
      </w:pPr>
      <w:r w:rsidRPr="00A121E4">
        <w:rPr>
          <w:b/>
        </w:rPr>
        <w:t>Доходы от оказания платных услуг и компенсации затрат государства</w:t>
      </w:r>
      <w:r w:rsidRPr="00A121E4">
        <w:rPr>
          <w:u w:val="single"/>
        </w:rPr>
        <w:t xml:space="preserve"> </w:t>
      </w:r>
      <w:r w:rsidR="008179F6" w:rsidRPr="00A121E4">
        <w:t>прогнозиру</w:t>
      </w:r>
      <w:r w:rsidR="003D59CE" w:rsidRPr="00A121E4">
        <w:t>ю</w:t>
      </w:r>
      <w:r w:rsidR="008179F6" w:rsidRPr="00A121E4">
        <w:t>тся в доходах местного бюджета на 202</w:t>
      </w:r>
      <w:r w:rsidR="00C57715" w:rsidRPr="00A121E4">
        <w:t>4</w:t>
      </w:r>
      <w:r w:rsidR="008179F6" w:rsidRPr="00A121E4">
        <w:t>-202</w:t>
      </w:r>
      <w:r w:rsidR="00C57715" w:rsidRPr="00A121E4">
        <w:t>6</w:t>
      </w:r>
      <w:r w:rsidR="008179F6" w:rsidRPr="00A121E4">
        <w:t xml:space="preserve"> годы в сумме </w:t>
      </w:r>
      <w:r w:rsidR="003F3E77">
        <w:t>1</w:t>
      </w:r>
      <w:r w:rsidR="008179F6" w:rsidRPr="00A121E4">
        <w:t xml:space="preserve"> тыс. рублей </w:t>
      </w:r>
      <w:r w:rsidR="00F170C1" w:rsidRPr="00A121E4">
        <w:t>ежегодно</w:t>
      </w:r>
      <w:r w:rsidR="00843C36" w:rsidRPr="00A121E4">
        <w:t xml:space="preserve">, </w:t>
      </w:r>
      <w:r w:rsidR="003F3E77">
        <w:t>соответствует уровню</w:t>
      </w:r>
      <w:r w:rsidR="003F3E77" w:rsidRPr="00DB174C">
        <w:t xml:space="preserve"> </w:t>
      </w:r>
      <w:r w:rsidR="003F3E77">
        <w:t>ожидаемых поступлений</w:t>
      </w:r>
      <w:r w:rsidR="003F3E77" w:rsidRPr="00DB174C">
        <w:t xml:space="preserve"> 20</w:t>
      </w:r>
      <w:r w:rsidR="003F3E77">
        <w:t>23 года.</w:t>
      </w:r>
    </w:p>
    <w:p w:rsidR="00391555" w:rsidRPr="00A121E4" w:rsidRDefault="00391555" w:rsidP="003F3E77">
      <w:pPr>
        <w:widowControl w:val="0"/>
        <w:numPr>
          <w:ilvl w:val="12"/>
          <w:numId w:val="0"/>
        </w:numPr>
        <w:ind w:firstLine="567"/>
        <w:jc w:val="both"/>
      </w:pPr>
      <w:r w:rsidRPr="00A121E4">
        <w:rPr>
          <w:b/>
        </w:rPr>
        <w:t>Объ</w:t>
      </w:r>
      <w:r w:rsidR="003F3E77">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xml:space="preserve">- на 2024 год в сумме </w:t>
      </w:r>
      <w:r w:rsidR="00925E2C">
        <w:t>6244,4</w:t>
      </w:r>
      <w:r w:rsidRPr="00A121E4">
        <w:t xml:space="preserve"> тыс. руб.</w:t>
      </w:r>
      <w:r w:rsidR="00A121E4">
        <w:t xml:space="preserve"> (-</w:t>
      </w:r>
      <w:r w:rsidR="00925E2C">
        <w:t>10255</w:t>
      </w:r>
      <w:r w:rsidRPr="00A121E4">
        <w:t xml:space="preserve"> тыс. руб.</w:t>
      </w:r>
      <w:r w:rsidR="00A121E4">
        <w:t>,</w:t>
      </w:r>
      <w:r w:rsidRPr="00A121E4">
        <w:t xml:space="preserve"> или </w:t>
      </w:r>
      <w:r w:rsidR="00925E2C">
        <w:t>37,8</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00925E2C">
        <w:t xml:space="preserve">6256,2 тыс. руб. (+11,8 </w:t>
      </w:r>
      <w:r w:rsidRPr="00A121E4">
        <w:t xml:space="preserve">тыс. руб., или </w:t>
      </w:r>
      <w:r w:rsidR="00925E2C">
        <w:t>100,2</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w:t>
      </w:r>
      <w:r w:rsidR="00925E2C">
        <w:t>6103,7</w:t>
      </w:r>
      <w:r w:rsidRPr="00A121E4">
        <w:t xml:space="preserve"> тыс. руб. (-</w:t>
      </w:r>
      <w:r w:rsidR="00925E2C">
        <w:t>152,5</w:t>
      </w:r>
      <w:r w:rsidRPr="00A121E4">
        <w:t xml:space="preserve"> тыс. руб., или </w:t>
      </w:r>
      <w:r w:rsidR="00925E2C">
        <w:t>97,6</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w:t>
      </w:r>
      <w:r w:rsidR="00AC241A">
        <w:t>Усть-Илгинского</w:t>
      </w:r>
      <w:r>
        <w:t xml:space="preserve"> муниципального образования на 202</w:t>
      </w:r>
      <w:r w:rsidR="00B2389D">
        <w:t>4</w:t>
      </w:r>
      <w:r>
        <w:t xml:space="preserve"> год в общей сумме</w:t>
      </w:r>
      <w:r w:rsidR="00B2389D">
        <w:t xml:space="preserve"> </w:t>
      </w:r>
      <w:r w:rsidR="00925E2C">
        <w:t>4720,8</w:t>
      </w:r>
      <w:r>
        <w:t xml:space="preserve"> тыс. рублей (в том числе за счет субвенции, предоставленной бюджету МО «Жигаловский район» из областного бюджета в сумме </w:t>
      </w:r>
      <w:r w:rsidR="00925E2C">
        <w:t>2136,9</w:t>
      </w:r>
      <w:r>
        <w:t xml:space="preserve"> тыс. руб. и средств районного бюджета в сумме </w:t>
      </w:r>
      <w:r w:rsidR="00925E2C">
        <w:t>2583,9</w:t>
      </w:r>
      <w:r>
        <w:t xml:space="preserve"> тыс. руб.), по сравнению с оценкой исполнения 202</w:t>
      </w:r>
      <w:r w:rsidR="00B2389D">
        <w:t>3</w:t>
      </w:r>
      <w:r>
        <w:t xml:space="preserve"> года, имеет тенденцию к </w:t>
      </w:r>
      <w:r w:rsidR="00DF0BB8">
        <w:t>снижению</w:t>
      </w:r>
      <w:r>
        <w:t xml:space="preserve"> на </w:t>
      </w:r>
      <w:r w:rsidR="00925E2C">
        <w:t>962,2</w:t>
      </w:r>
      <w:r w:rsidR="00DF0BB8">
        <w:t xml:space="preserve"> тыс. рублей (-</w:t>
      </w:r>
      <w:r w:rsidR="00925E2C">
        <w:t>16,9</w:t>
      </w:r>
      <w:r>
        <w:t xml:space="preserve">%). </w:t>
      </w:r>
    </w:p>
    <w:p w:rsidR="00151B04" w:rsidRDefault="00B2389D" w:rsidP="00151B04">
      <w:pPr>
        <w:ind w:firstLine="567"/>
        <w:jc w:val="both"/>
      </w:pPr>
      <w:r>
        <w:t>В 2025</w:t>
      </w:r>
      <w:r w:rsidR="00151B04">
        <w:t>-202</w:t>
      </w:r>
      <w:r>
        <w:t>6</w:t>
      </w:r>
      <w:r w:rsidR="00151B04">
        <w:t xml:space="preserve"> годах объем дотаций составит </w:t>
      </w:r>
      <w:r w:rsidR="00925E2C">
        <w:t>4200,7</w:t>
      </w:r>
      <w:r w:rsidR="00151B04">
        <w:t xml:space="preserve"> тыс. рублей (областной бюджет – </w:t>
      </w:r>
      <w:r w:rsidR="00925E2C">
        <w:t>1964,5</w:t>
      </w:r>
      <w:r w:rsidR="00151B04">
        <w:t xml:space="preserve"> тыс. руб., районный бюджет – </w:t>
      </w:r>
      <w:r w:rsidR="00925E2C">
        <w:t>2236,2</w:t>
      </w:r>
      <w:r w:rsidR="00151B04">
        <w:t xml:space="preserve"> тыс. руб.) и </w:t>
      </w:r>
      <w:r w:rsidR="00925E2C">
        <w:t>3479,1</w:t>
      </w:r>
      <w:r w:rsidR="00151B04">
        <w:t xml:space="preserve"> тыс. рублей (областной бюджет – </w:t>
      </w:r>
      <w:r w:rsidR="00925E2C">
        <w:t>1236,2</w:t>
      </w:r>
      <w:r w:rsidR="00151B04">
        <w:t xml:space="preserve"> тыс. руб., районный бюджет – </w:t>
      </w:r>
      <w:r w:rsidR="00925E2C">
        <w:t>2242,9</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 xml:space="preserve">«О бюджете </w:t>
      </w:r>
      <w:r w:rsidR="00151B04">
        <w:lastRenderedPageBreak/>
        <w:t>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0455FB">
        <w:t>300</w:t>
      </w:r>
      <w:r>
        <w:t xml:space="preserve"> тыс. руб., </w:t>
      </w:r>
      <w:r w:rsidR="005E45C8">
        <w:t xml:space="preserve">ежегодно, </w:t>
      </w:r>
      <w:r w:rsidR="000455FB">
        <w:t>на уровне</w:t>
      </w:r>
      <w:r w:rsidR="007F46DD">
        <w:t xml:space="preserve"> </w:t>
      </w:r>
      <w:r>
        <w:t>оценк</w:t>
      </w:r>
      <w:r w:rsidR="000455FB">
        <w:t>и</w:t>
      </w:r>
      <w:r>
        <w:t xml:space="preserve"> исполнения 202</w:t>
      </w:r>
      <w:r w:rsidR="007F46DD">
        <w:t>3</w:t>
      </w:r>
      <w:r>
        <w:t xml:space="preserve">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t>- на 2024 год</w:t>
      </w:r>
      <w:r w:rsidR="005E45C8">
        <w:t xml:space="preserve"> в </w:t>
      </w:r>
      <w:r>
        <w:t>сумме</w:t>
      </w:r>
      <w:r w:rsidR="005E45C8">
        <w:t xml:space="preserve"> </w:t>
      </w:r>
      <w:r>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t xml:space="preserve">- </w:t>
      </w:r>
      <w:r w:rsidR="005E45C8">
        <w:t xml:space="preserve">на </w:t>
      </w:r>
      <w:r>
        <w:t xml:space="preserve">2024 год в сумме </w:t>
      </w:r>
      <w:r w:rsidR="000455FB">
        <w:t>1040,2</w:t>
      </w:r>
      <w:r>
        <w:t xml:space="preserve"> тыс. рублей, со снижением к оценке исполнения 2023 года на </w:t>
      </w:r>
      <w:r w:rsidR="000455FB">
        <w:t>9301,8</w:t>
      </w:r>
      <w:r>
        <w:t xml:space="preserve"> тыс. руб. (-</w:t>
      </w:r>
      <w:r w:rsidR="000455FB">
        <w:t>89,9</w:t>
      </w:r>
      <w:r>
        <w:t xml:space="preserve">%), </w:t>
      </w:r>
    </w:p>
    <w:p w:rsidR="00730098" w:rsidRPr="00A121E4" w:rsidRDefault="00730098" w:rsidP="00730098">
      <w:pPr>
        <w:pStyle w:val="a9"/>
        <w:spacing w:after="0"/>
        <w:ind w:left="0" w:firstLine="709"/>
        <w:jc w:val="both"/>
      </w:pPr>
      <w:r>
        <w:t xml:space="preserve">- на 2025 год в сумме </w:t>
      </w:r>
      <w:r w:rsidR="000455FB">
        <w:t>1565,3</w:t>
      </w:r>
      <w:r>
        <w:t xml:space="preserve"> тыс. рублей (</w:t>
      </w:r>
      <w:r w:rsidR="00696934">
        <w:t>+</w:t>
      </w:r>
      <w:r w:rsidR="000455FB">
        <w:t>525,1</w:t>
      </w:r>
      <w:r>
        <w:t xml:space="preserve"> </w:t>
      </w:r>
      <w:r w:rsidRPr="00A121E4">
        <w:t>тыс. руб.</w:t>
      </w:r>
      <w:r>
        <w:t>,</w:t>
      </w:r>
      <w:r w:rsidRPr="00A121E4">
        <w:t xml:space="preserve"> или </w:t>
      </w:r>
      <w:r w:rsidR="000455FB">
        <w:t>150,5</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w:t>
      </w:r>
      <w:r w:rsidR="000455FB">
        <w:t>2323,9</w:t>
      </w:r>
      <w:r>
        <w:t xml:space="preserve"> тыс. рублей (+</w:t>
      </w:r>
      <w:r w:rsidR="000455FB">
        <w:t>758,6</w:t>
      </w:r>
      <w:r>
        <w:t xml:space="preserve"> </w:t>
      </w:r>
      <w:r w:rsidRPr="00A121E4">
        <w:t>тыс. руб.</w:t>
      </w:r>
      <w:r>
        <w:t>,</w:t>
      </w:r>
      <w:r w:rsidRPr="00A121E4">
        <w:t xml:space="preserve"> или </w:t>
      </w:r>
      <w:r w:rsidR="000455FB">
        <w:t>150,5</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w:t>
      </w:r>
      <w:r w:rsidR="00AC241A">
        <w:t>Усть-Илгинского</w:t>
      </w:r>
      <w:r w:rsidR="005E45C8">
        <w:t xml:space="preserve">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0455FB">
        <w:t>1005,2</w:t>
      </w:r>
      <w:r w:rsidR="005E45C8">
        <w:t xml:space="preserve"> тыс. руб., на 202</w:t>
      </w:r>
      <w:r w:rsidR="00F65121">
        <w:t>5</w:t>
      </w:r>
      <w:r w:rsidR="005E45C8">
        <w:t xml:space="preserve"> год </w:t>
      </w:r>
      <w:r w:rsidR="00696934">
        <w:t>–</w:t>
      </w:r>
      <w:r w:rsidR="005E45C8">
        <w:t xml:space="preserve"> </w:t>
      </w:r>
      <w:r w:rsidR="000455FB">
        <w:t>1565,3</w:t>
      </w:r>
      <w:r w:rsidR="005E45C8">
        <w:t xml:space="preserve"> тыс. рублей, на 202</w:t>
      </w:r>
      <w:r w:rsidR="00F65121">
        <w:t>6</w:t>
      </w:r>
      <w:r w:rsidR="005E45C8">
        <w:t xml:space="preserve"> год </w:t>
      </w:r>
      <w:r w:rsidR="00696934">
        <w:t>–</w:t>
      </w:r>
      <w:r w:rsidR="005E45C8">
        <w:t xml:space="preserve"> </w:t>
      </w:r>
      <w:r w:rsidR="000455FB">
        <w:t>2323,9</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AC241A">
        <w:t>Усть-Илгинского</w:t>
      </w:r>
      <w:r w:rsidR="00E7129A">
        <w:t xml:space="preserve"> сельского </w:t>
      </w:r>
      <w:r>
        <w:t>поселени</w:t>
      </w:r>
      <w:r w:rsidR="00E7129A">
        <w:t>я</w:t>
      </w:r>
      <w:r>
        <w:t xml:space="preserve"> на 2024 год в сумме </w:t>
      </w:r>
      <w:r w:rsidR="000455FB">
        <w:t>35</w:t>
      </w:r>
      <w:r>
        <w:t xml:space="preserve">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AC241A">
        <w:t>Усть-Илгинского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E7129A">
        <w:t>4</w:t>
      </w:r>
      <w:r>
        <w:t xml:space="preserve"> год</w:t>
      </w:r>
      <w:r w:rsidRPr="00715968">
        <w:t>, удельный вес по</w:t>
      </w:r>
      <w:r>
        <w:t xml:space="preserve"> </w:t>
      </w:r>
      <w:r w:rsidRPr="00715968">
        <w:t xml:space="preserve">видам безвозмездных поступлений составит: </w:t>
      </w:r>
      <w:r w:rsidR="00A525E3">
        <w:t xml:space="preserve">дотации – </w:t>
      </w:r>
      <w:r w:rsidR="000455FB">
        <w:t>75,6</w:t>
      </w:r>
      <w:r w:rsidR="00A525E3" w:rsidRPr="00715968">
        <w:t>%,</w:t>
      </w:r>
      <w:r w:rsidR="00A525E3" w:rsidRPr="00386290">
        <w:t xml:space="preserve"> </w:t>
      </w:r>
      <w:r w:rsidR="00E7129A">
        <w:t xml:space="preserve">иные МБТ – </w:t>
      </w:r>
      <w:r w:rsidR="000455FB">
        <w:t>16,7</w:t>
      </w:r>
      <w:r w:rsidR="00E7129A">
        <w:t xml:space="preserve">%, </w:t>
      </w:r>
      <w:r>
        <w:t xml:space="preserve">субсидии – </w:t>
      </w:r>
      <w:r w:rsidR="000455FB">
        <w:t>4,8</w:t>
      </w:r>
      <w:r>
        <w:t xml:space="preserve">%, </w:t>
      </w:r>
      <w:r w:rsidRPr="00715968">
        <w:t>субвенции</w:t>
      </w:r>
      <w:r>
        <w:t xml:space="preserve"> – </w:t>
      </w:r>
      <w:r w:rsidR="000455FB">
        <w:t>2,9</w:t>
      </w:r>
      <w:r>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AC241A">
        <w:t>Усть-Илгинского</w:t>
      </w:r>
      <w:r w:rsidR="00624ADA" w:rsidRPr="00AA5219">
        <w:t xml:space="preserve"> муниципального образования </w:t>
      </w:r>
      <w:r w:rsidR="003C33C3">
        <w:rPr>
          <w:bCs/>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AC241A">
        <w:t>Усть-Илгинского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w:t>
      </w:r>
      <w:r w:rsidR="002174D6">
        <w:lastRenderedPageBreak/>
        <w:t xml:space="preserve">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00724DB7">
        <w:t>6782,8</w:t>
      </w:r>
      <w:r w:rsidR="00B63340" w:rsidRPr="00854E5D">
        <w:t xml:space="preserve"> тыс. рублей, со снижением на </w:t>
      </w:r>
      <w:r w:rsidR="00724DB7">
        <w:t>11331,1</w:t>
      </w:r>
      <w:r w:rsidR="00B63340" w:rsidRPr="00854E5D">
        <w:t xml:space="preserve"> тыс. руб. (-</w:t>
      </w:r>
      <w:r w:rsidR="00724DB7">
        <w:t>62,6</w:t>
      </w:r>
      <w:r w:rsidR="00B63340" w:rsidRPr="00854E5D">
        <w:t>%) 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00724DB7">
        <w:t>6653,1</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 xml:space="preserve">ов в сумме </w:t>
      </w:r>
      <w:r w:rsidR="00724DB7">
        <w:t>158</w:t>
      </w:r>
      <w:r w:rsidRPr="00854E5D">
        <w:t xml:space="preserve"> тыс. руб.</w:t>
      </w:r>
      <w:r w:rsidR="00B63340" w:rsidRPr="00854E5D">
        <w:t>),</w:t>
      </w:r>
      <w:r w:rsidRPr="00854E5D">
        <w:t xml:space="preserve"> со снижением на </w:t>
      </w:r>
      <w:r w:rsidR="00724DB7">
        <w:t>129,7</w:t>
      </w:r>
      <w:r w:rsidRPr="00854E5D">
        <w:t xml:space="preserve"> тыс. руб. (-</w:t>
      </w:r>
      <w:r w:rsidR="00724DB7">
        <w:t>1,9</w:t>
      </w:r>
      <w:r w:rsidRPr="00854E5D">
        <w:t>%)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00724DB7">
        <w:t>6358,3</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00724DB7">
        <w:t>318,9</w:t>
      </w:r>
      <w:r w:rsidR="00B63340" w:rsidRPr="00854E5D">
        <w:t xml:space="preserve"> тыс. рублей)</w:t>
      </w:r>
      <w:r w:rsidR="00502A4F" w:rsidRPr="00854E5D">
        <w:t xml:space="preserve">, со снижением на </w:t>
      </w:r>
      <w:r w:rsidR="00724DB7">
        <w:t>294,8</w:t>
      </w:r>
      <w:r w:rsidR="00502A4F" w:rsidRPr="00854E5D">
        <w:t xml:space="preserve"> тыс. руб. (-</w:t>
      </w:r>
      <w:r w:rsidR="00724DB7">
        <w:t>4,4</w:t>
      </w:r>
      <w:r w:rsidR="00502A4F" w:rsidRPr="00854E5D">
        <w:t xml:space="preserve">%)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F652CB" w:rsidRDefault="00F652CB" w:rsidP="00F652CB">
      <w:pPr>
        <w:suppressAutoHyphens/>
        <w:ind w:firstLine="709"/>
        <w:jc w:val="both"/>
        <w:rPr>
          <w:bCs/>
        </w:rPr>
      </w:pPr>
      <w:r w:rsidRPr="006D09CC">
        <w:rPr>
          <w:bCs/>
        </w:rPr>
        <w:t xml:space="preserve">Проект бюджета сформирован в </w:t>
      </w:r>
      <w:r>
        <w:rPr>
          <w:bCs/>
        </w:rPr>
        <w:t>не</w:t>
      </w:r>
      <w:r w:rsidRPr="006D09CC">
        <w:rPr>
          <w:bCs/>
        </w:rPr>
        <w:t>программной структуре расходов</w:t>
      </w:r>
      <w:r w:rsidR="009528FF">
        <w:rPr>
          <w:bCs/>
        </w:rPr>
        <w:t xml:space="preserve"> (муниципальные программы, проекты муниципальных программ к экспертизе не представлены</w:t>
      </w:r>
      <w:r w:rsidR="00AD5347">
        <w:rPr>
          <w:bCs/>
        </w:rPr>
        <w:t>, соответственно отсутствуют</w:t>
      </w:r>
      <w:r w:rsidR="009528FF">
        <w:rPr>
          <w:bCs/>
        </w:rPr>
        <w:t>)</w:t>
      </w:r>
      <w:r>
        <w:rPr>
          <w:bCs/>
        </w:rPr>
        <w:t>.</w:t>
      </w:r>
      <w:r w:rsidRPr="006D09CC">
        <w:rPr>
          <w:bCs/>
        </w:rPr>
        <w:t xml:space="preserve"> </w:t>
      </w:r>
    </w:p>
    <w:p w:rsidR="00191FE2"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w:t>
      </w:r>
    </w:p>
    <w:p w:rsidR="00F652CB" w:rsidRDefault="00F652CB" w:rsidP="00F652CB">
      <w:pPr>
        <w:suppressAutoHyphens/>
        <w:ind w:firstLine="709"/>
        <w:jc w:val="both"/>
        <w:rPr>
          <w:sz w:val="25"/>
          <w:szCs w:val="25"/>
        </w:rPr>
      </w:pPr>
      <w:r>
        <w:rPr>
          <w:sz w:val="25"/>
          <w:szCs w:val="25"/>
        </w:rPr>
        <w:t xml:space="preserve">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w:t>
      </w:r>
      <w:r w:rsidR="00724DB7">
        <w:t>ний, находящимся в ведении ОМСУ</w:t>
      </w:r>
      <w:r>
        <w:t>;</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9528FF" w:rsidRDefault="009528FF" w:rsidP="009528FF">
      <w:pPr>
        <w:tabs>
          <w:tab w:val="left" w:pos="1134"/>
        </w:tabs>
        <w:autoSpaceDE w:val="0"/>
        <w:autoSpaceDN w:val="0"/>
        <w:adjustRightInd w:val="0"/>
        <w:ind w:firstLine="567"/>
        <w:jc w:val="both"/>
      </w:pPr>
      <w:r w:rsidRPr="00C82B69">
        <w:t xml:space="preserve">4) расходы </w:t>
      </w:r>
      <w:r>
        <w:t>муниципального дорожного фонда.</w:t>
      </w:r>
    </w:p>
    <w:p w:rsidR="00C91429" w:rsidRPr="00895EC4" w:rsidRDefault="00C91429" w:rsidP="00C91429">
      <w:pPr>
        <w:widowControl w:val="0"/>
        <w:numPr>
          <w:ilvl w:val="12"/>
          <w:numId w:val="0"/>
        </w:numPr>
        <w:ind w:firstLine="720"/>
        <w:jc w:val="center"/>
        <w:rPr>
          <w:b/>
        </w:rPr>
      </w:pPr>
      <w:r w:rsidRPr="00895EC4">
        <w:rPr>
          <w:b/>
        </w:rPr>
        <w:t xml:space="preserve">  </w:t>
      </w:r>
    </w:p>
    <w:p w:rsidR="004E39A3" w:rsidRDefault="002F3A19" w:rsidP="002F3A19">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001FC2" w:rsidRPr="002F3A19" w:rsidRDefault="002F3A19" w:rsidP="002F3A19">
      <w:pPr>
        <w:widowControl w:val="0"/>
        <w:numPr>
          <w:ilvl w:val="12"/>
          <w:numId w:val="0"/>
        </w:numPr>
        <w:ind w:firstLine="567"/>
        <w:jc w:val="right"/>
        <w:rPr>
          <w:u w:val="single"/>
        </w:rPr>
      </w:pPr>
      <w:r>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414753">
        <w:trPr>
          <w:trHeight w:val="171"/>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F3A19" w:rsidRPr="00414753" w:rsidRDefault="009D70A4" w:rsidP="002F3A19">
            <w:pPr>
              <w:jc w:val="center"/>
              <w:rPr>
                <w:b/>
                <w:sz w:val="20"/>
                <w:szCs w:val="20"/>
              </w:rPr>
            </w:pPr>
            <w:r>
              <w:rPr>
                <w:b/>
                <w:sz w:val="20"/>
                <w:szCs w:val="20"/>
              </w:rPr>
              <w:t>18113,9</w:t>
            </w:r>
          </w:p>
        </w:tc>
        <w:tc>
          <w:tcPr>
            <w:tcW w:w="993" w:type="dxa"/>
            <w:vAlign w:val="center"/>
          </w:tcPr>
          <w:p w:rsidR="002F3A19" w:rsidRPr="00414753" w:rsidRDefault="00D3437D" w:rsidP="002F3A19">
            <w:pPr>
              <w:jc w:val="center"/>
              <w:rPr>
                <w:b/>
                <w:sz w:val="20"/>
                <w:szCs w:val="20"/>
              </w:rPr>
            </w:pPr>
            <w:r>
              <w:rPr>
                <w:b/>
                <w:sz w:val="20"/>
                <w:szCs w:val="20"/>
              </w:rPr>
              <w:t>6782,8</w:t>
            </w:r>
          </w:p>
        </w:tc>
        <w:tc>
          <w:tcPr>
            <w:tcW w:w="992" w:type="dxa"/>
            <w:vAlign w:val="center"/>
          </w:tcPr>
          <w:p w:rsidR="002F3A19" w:rsidRPr="00414753" w:rsidRDefault="00D3437D" w:rsidP="002F3A19">
            <w:pPr>
              <w:jc w:val="center"/>
              <w:rPr>
                <w:b/>
                <w:sz w:val="20"/>
                <w:szCs w:val="20"/>
              </w:rPr>
            </w:pPr>
            <w:r>
              <w:rPr>
                <w:b/>
                <w:sz w:val="20"/>
                <w:szCs w:val="20"/>
              </w:rPr>
              <w:t>6653,1</w:t>
            </w:r>
          </w:p>
        </w:tc>
        <w:tc>
          <w:tcPr>
            <w:tcW w:w="992" w:type="dxa"/>
            <w:vAlign w:val="center"/>
          </w:tcPr>
          <w:p w:rsidR="002F3A19" w:rsidRPr="00414753" w:rsidRDefault="00D3437D" w:rsidP="002F3A19">
            <w:pPr>
              <w:jc w:val="center"/>
              <w:rPr>
                <w:b/>
                <w:sz w:val="20"/>
                <w:szCs w:val="20"/>
              </w:rPr>
            </w:pPr>
            <w:r>
              <w:rPr>
                <w:b/>
                <w:sz w:val="20"/>
                <w:szCs w:val="20"/>
              </w:rPr>
              <w:t>6358,3</w:t>
            </w:r>
          </w:p>
        </w:tc>
        <w:tc>
          <w:tcPr>
            <w:tcW w:w="1134" w:type="dxa"/>
            <w:vAlign w:val="center"/>
          </w:tcPr>
          <w:p w:rsidR="002F3A19" w:rsidRPr="00414753" w:rsidRDefault="00605ABB" w:rsidP="002F3A19">
            <w:pPr>
              <w:jc w:val="center"/>
              <w:rPr>
                <w:b/>
                <w:sz w:val="20"/>
                <w:szCs w:val="20"/>
              </w:rPr>
            </w:pPr>
            <w:r>
              <w:rPr>
                <w:b/>
                <w:sz w:val="20"/>
                <w:szCs w:val="20"/>
              </w:rPr>
              <w:t>37,4</w:t>
            </w:r>
          </w:p>
        </w:tc>
        <w:tc>
          <w:tcPr>
            <w:tcW w:w="1134" w:type="dxa"/>
            <w:vAlign w:val="center"/>
          </w:tcPr>
          <w:p w:rsidR="002F3A19" w:rsidRPr="00414753" w:rsidRDefault="00605ABB" w:rsidP="002F3A19">
            <w:pPr>
              <w:jc w:val="center"/>
              <w:rPr>
                <w:b/>
                <w:sz w:val="20"/>
                <w:szCs w:val="20"/>
              </w:rPr>
            </w:pPr>
            <w:r>
              <w:rPr>
                <w:b/>
                <w:sz w:val="20"/>
                <w:szCs w:val="20"/>
              </w:rPr>
              <w:t>98,1</w:t>
            </w:r>
          </w:p>
        </w:tc>
        <w:tc>
          <w:tcPr>
            <w:tcW w:w="1099" w:type="dxa"/>
            <w:vAlign w:val="center"/>
          </w:tcPr>
          <w:p w:rsidR="002F3A19" w:rsidRPr="00414753" w:rsidRDefault="00605ABB" w:rsidP="002F3A19">
            <w:pPr>
              <w:jc w:val="center"/>
              <w:rPr>
                <w:b/>
                <w:sz w:val="20"/>
                <w:szCs w:val="20"/>
              </w:rPr>
            </w:pPr>
            <w:r>
              <w:rPr>
                <w:b/>
                <w:sz w:val="20"/>
                <w:szCs w:val="20"/>
              </w:rPr>
              <w:t>95,6</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9D70A4" w:rsidP="002F3A19">
            <w:pPr>
              <w:jc w:val="center"/>
              <w:rPr>
                <w:b/>
                <w:sz w:val="20"/>
                <w:szCs w:val="20"/>
              </w:rPr>
            </w:pPr>
            <w:r>
              <w:rPr>
                <w:b/>
                <w:sz w:val="20"/>
                <w:szCs w:val="20"/>
              </w:rPr>
              <w:t>4039,3</w:t>
            </w:r>
          </w:p>
        </w:tc>
        <w:tc>
          <w:tcPr>
            <w:tcW w:w="993" w:type="dxa"/>
            <w:vAlign w:val="center"/>
          </w:tcPr>
          <w:p w:rsidR="002F3A19" w:rsidRPr="00414753" w:rsidRDefault="00D3437D" w:rsidP="002F3A19">
            <w:pPr>
              <w:jc w:val="center"/>
              <w:rPr>
                <w:b/>
                <w:sz w:val="20"/>
                <w:szCs w:val="20"/>
              </w:rPr>
            </w:pPr>
            <w:r>
              <w:rPr>
                <w:b/>
                <w:sz w:val="20"/>
                <w:szCs w:val="20"/>
              </w:rPr>
              <w:t>3610,2</w:t>
            </w:r>
          </w:p>
        </w:tc>
        <w:tc>
          <w:tcPr>
            <w:tcW w:w="992" w:type="dxa"/>
            <w:vAlign w:val="center"/>
          </w:tcPr>
          <w:p w:rsidR="002F3A19" w:rsidRPr="00414753" w:rsidRDefault="00D3437D" w:rsidP="002F3A19">
            <w:pPr>
              <w:jc w:val="center"/>
              <w:rPr>
                <w:b/>
                <w:sz w:val="20"/>
                <w:szCs w:val="20"/>
              </w:rPr>
            </w:pPr>
            <w:r>
              <w:rPr>
                <w:b/>
                <w:sz w:val="20"/>
                <w:szCs w:val="20"/>
              </w:rPr>
              <w:t>3505</w:t>
            </w:r>
          </w:p>
        </w:tc>
        <w:tc>
          <w:tcPr>
            <w:tcW w:w="992" w:type="dxa"/>
            <w:vAlign w:val="center"/>
          </w:tcPr>
          <w:p w:rsidR="002F3A19" w:rsidRPr="00414753" w:rsidRDefault="00D3437D" w:rsidP="002F3A19">
            <w:pPr>
              <w:jc w:val="center"/>
              <w:rPr>
                <w:b/>
                <w:sz w:val="20"/>
                <w:szCs w:val="20"/>
              </w:rPr>
            </w:pPr>
            <w:r>
              <w:rPr>
                <w:b/>
                <w:sz w:val="20"/>
                <w:szCs w:val="20"/>
              </w:rPr>
              <w:t>3418,8</w:t>
            </w:r>
          </w:p>
        </w:tc>
        <w:tc>
          <w:tcPr>
            <w:tcW w:w="1134" w:type="dxa"/>
            <w:vAlign w:val="center"/>
          </w:tcPr>
          <w:p w:rsidR="002F3A19" w:rsidRPr="00414753" w:rsidRDefault="00605ABB" w:rsidP="002F3A19">
            <w:pPr>
              <w:jc w:val="center"/>
              <w:rPr>
                <w:b/>
                <w:sz w:val="20"/>
                <w:szCs w:val="20"/>
              </w:rPr>
            </w:pPr>
            <w:r>
              <w:rPr>
                <w:b/>
                <w:sz w:val="20"/>
                <w:szCs w:val="20"/>
              </w:rPr>
              <w:t>89,4</w:t>
            </w:r>
          </w:p>
        </w:tc>
        <w:tc>
          <w:tcPr>
            <w:tcW w:w="1134" w:type="dxa"/>
            <w:vAlign w:val="center"/>
          </w:tcPr>
          <w:p w:rsidR="002F3A19" w:rsidRPr="00414753" w:rsidRDefault="00605ABB" w:rsidP="002F3A19">
            <w:pPr>
              <w:jc w:val="center"/>
              <w:rPr>
                <w:b/>
                <w:sz w:val="20"/>
                <w:szCs w:val="20"/>
              </w:rPr>
            </w:pPr>
            <w:r>
              <w:rPr>
                <w:b/>
                <w:sz w:val="20"/>
                <w:szCs w:val="20"/>
              </w:rPr>
              <w:t>97,1</w:t>
            </w:r>
          </w:p>
        </w:tc>
        <w:tc>
          <w:tcPr>
            <w:tcW w:w="1099" w:type="dxa"/>
            <w:vAlign w:val="center"/>
          </w:tcPr>
          <w:p w:rsidR="002F3A19" w:rsidRPr="00414753" w:rsidRDefault="00605ABB" w:rsidP="002F3A19">
            <w:pPr>
              <w:jc w:val="center"/>
              <w:rPr>
                <w:b/>
                <w:sz w:val="20"/>
                <w:szCs w:val="20"/>
              </w:rPr>
            </w:pPr>
            <w:r>
              <w:rPr>
                <w:b/>
                <w:sz w:val="20"/>
                <w:szCs w:val="20"/>
              </w:rPr>
              <w:t>97,5</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9D70A4" w:rsidP="002F3A19">
            <w:pPr>
              <w:jc w:val="center"/>
              <w:rPr>
                <w:sz w:val="20"/>
                <w:szCs w:val="20"/>
              </w:rPr>
            </w:pPr>
            <w:r>
              <w:rPr>
                <w:sz w:val="20"/>
                <w:szCs w:val="20"/>
              </w:rPr>
              <w:t>1019</w:t>
            </w:r>
          </w:p>
        </w:tc>
        <w:tc>
          <w:tcPr>
            <w:tcW w:w="993" w:type="dxa"/>
            <w:vAlign w:val="center"/>
          </w:tcPr>
          <w:p w:rsidR="002F3A19" w:rsidRPr="006D09CC" w:rsidRDefault="00D3437D" w:rsidP="002F3A19">
            <w:pPr>
              <w:jc w:val="center"/>
              <w:rPr>
                <w:sz w:val="20"/>
                <w:szCs w:val="20"/>
              </w:rPr>
            </w:pPr>
            <w:r>
              <w:rPr>
                <w:sz w:val="20"/>
                <w:szCs w:val="20"/>
              </w:rPr>
              <w:t>1030</w:t>
            </w:r>
          </w:p>
        </w:tc>
        <w:tc>
          <w:tcPr>
            <w:tcW w:w="992" w:type="dxa"/>
            <w:vAlign w:val="center"/>
          </w:tcPr>
          <w:p w:rsidR="002F3A19" w:rsidRPr="006D09CC" w:rsidRDefault="00D3437D" w:rsidP="002F3A19">
            <w:pPr>
              <w:jc w:val="center"/>
              <w:rPr>
                <w:sz w:val="20"/>
                <w:szCs w:val="20"/>
              </w:rPr>
            </w:pPr>
            <w:r>
              <w:rPr>
                <w:sz w:val="20"/>
                <w:szCs w:val="20"/>
              </w:rPr>
              <w:t>1030</w:t>
            </w:r>
          </w:p>
        </w:tc>
        <w:tc>
          <w:tcPr>
            <w:tcW w:w="992" w:type="dxa"/>
            <w:vAlign w:val="center"/>
          </w:tcPr>
          <w:p w:rsidR="002F3A19" w:rsidRPr="006D09CC" w:rsidRDefault="00D3437D" w:rsidP="002F3A19">
            <w:pPr>
              <w:jc w:val="center"/>
              <w:rPr>
                <w:sz w:val="20"/>
                <w:szCs w:val="20"/>
              </w:rPr>
            </w:pPr>
            <w:r>
              <w:rPr>
                <w:sz w:val="20"/>
                <w:szCs w:val="20"/>
              </w:rPr>
              <w:t>1030</w:t>
            </w:r>
          </w:p>
        </w:tc>
        <w:tc>
          <w:tcPr>
            <w:tcW w:w="1134" w:type="dxa"/>
            <w:vAlign w:val="center"/>
          </w:tcPr>
          <w:p w:rsidR="002F3A19" w:rsidRPr="006D09CC" w:rsidRDefault="00605ABB" w:rsidP="002F3A19">
            <w:pPr>
              <w:jc w:val="center"/>
              <w:rPr>
                <w:sz w:val="20"/>
                <w:szCs w:val="20"/>
              </w:rPr>
            </w:pPr>
            <w:r>
              <w:rPr>
                <w:sz w:val="20"/>
                <w:szCs w:val="20"/>
              </w:rPr>
              <w:t>101,1</w:t>
            </w:r>
          </w:p>
        </w:tc>
        <w:tc>
          <w:tcPr>
            <w:tcW w:w="1134" w:type="dxa"/>
            <w:vAlign w:val="center"/>
          </w:tcPr>
          <w:p w:rsidR="002F3A19" w:rsidRPr="006D09CC" w:rsidRDefault="00605ABB" w:rsidP="002F3A19">
            <w:pPr>
              <w:jc w:val="center"/>
              <w:rPr>
                <w:sz w:val="20"/>
                <w:szCs w:val="20"/>
              </w:rPr>
            </w:pPr>
            <w:r>
              <w:rPr>
                <w:sz w:val="20"/>
                <w:szCs w:val="20"/>
              </w:rPr>
              <w:t>100</w:t>
            </w:r>
          </w:p>
        </w:tc>
        <w:tc>
          <w:tcPr>
            <w:tcW w:w="1099" w:type="dxa"/>
            <w:vAlign w:val="center"/>
          </w:tcPr>
          <w:p w:rsidR="002F3A19" w:rsidRPr="006D09CC" w:rsidRDefault="00605ABB" w:rsidP="002F3A19">
            <w:pPr>
              <w:jc w:val="center"/>
              <w:rPr>
                <w:sz w:val="20"/>
                <w:szCs w:val="20"/>
              </w:rPr>
            </w:pPr>
            <w:r>
              <w:rPr>
                <w:sz w:val="20"/>
                <w:szCs w:val="20"/>
              </w:rPr>
              <w:t>100</w:t>
            </w:r>
          </w:p>
        </w:tc>
      </w:tr>
      <w:tr w:rsidR="00EE0EE5" w:rsidRPr="006D09CC" w:rsidTr="00414753">
        <w:trPr>
          <w:trHeight w:val="974"/>
          <w:jc w:val="center"/>
        </w:trPr>
        <w:tc>
          <w:tcPr>
            <w:tcW w:w="2410" w:type="dxa"/>
          </w:tcPr>
          <w:p w:rsidR="00EE0EE5" w:rsidRPr="001E0253" w:rsidRDefault="00EE0EE5" w:rsidP="00EE0EE5">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EE0EE5" w:rsidRDefault="009D70A4" w:rsidP="00EE0EE5">
            <w:pPr>
              <w:jc w:val="center"/>
              <w:rPr>
                <w:sz w:val="20"/>
                <w:szCs w:val="20"/>
              </w:rPr>
            </w:pPr>
            <w:r>
              <w:rPr>
                <w:sz w:val="20"/>
                <w:szCs w:val="20"/>
              </w:rPr>
              <w:t>1</w:t>
            </w:r>
          </w:p>
        </w:tc>
        <w:tc>
          <w:tcPr>
            <w:tcW w:w="993" w:type="dxa"/>
            <w:vAlign w:val="center"/>
          </w:tcPr>
          <w:p w:rsidR="00EE0EE5" w:rsidRDefault="00D3437D" w:rsidP="00EE0EE5">
            <w:pPr>
              <w:jc w:val="center"/>
              <w:rPr>
                <w:sz w:val="20"/>
                <w:szCs w:val="20"/>
              </w:rPr>
            </w:pPr>
            <w:r>
              <w:rPr>
                <w:sz w:val="20"/>
                <w:szCs w:val="20"/>
              </w:rPr>
              <w:t>1</w:t>
            </w:r>
          </w:p>
        </w:tc>
        <w:tc>
          <w:tcPr>
            <w:tcW w:w="992" w:type="dxa"/>
            <w:vAlign w:val="center"/>
          </w:tcPr>
          <w:p w:rsidR="00EE0EE5" w:rsidRDefault="00D3437D" w:rsidP="00EE0EE5">
            <w:pPr>
              <w:jc w:val="center"/>
              <w:rPr>
                <w:sz w:val="20"/>
                <w:szCs w:val="20"/>
              </w:rPr>
            </w:pPr>
            <w:r>
              <w:rPr>
                <w:sz w:val="20"/>
                <w:szCs w:val="20"/>
              </w:rPr>
              <w:t>1</w:t>
            </w:r>
          </w:p>
        </w:tc>
        <w:tc>
          <w:tcPr>
            <w:tcW w:w="992" w:type="dxa"/>
            <w:vAlign w:val="center"/>
          </w:tcPr>
          <w:p w:rsidR="00EE0EE5" w:rsidRDefault="00D3437D" w:rsidP="00EE0EE5">
            <w:pPr>
              <w:jc w:val="center"/>
              <w:rPr>
                <w:sz w:val="20"/>
                <w:szCs w:val="20"/>
              </w:rPr>
            </w:pPr>
            <w:r>
              <w:rPr>
                <w:sz w:val="20"/>
                <w:szCs w:val="20"/>
              </w:rPr>
              <w:t>1</w:t>
            </w:r>
          </w:p>
        </w:tc>
        <w:tc>
          <w:tcPr>
            <w:tcW w:w="1134" w:type="dxa"/>
            <w:vAlign w:val="center"/>
          </w:tcPr>
          <w:p w:rsidR="00EE0EE5" w:rsidRPr="006D09CC" w:rsidRDefault="00605ABB" w:rsidP="00EE0EE5">
            <w:pPr>
              <w:jc w:val="center"/>
              <w:rPr>
                <w:sz w:val="20"/>
                <w:szCs w:val="20"/>
              </w:rPr>
            </w:pPr>
            <w:r>
              <w:rPr>
                <w:sz w:val="20"/>
                <w:szCs w:val="20"/>
              </w:rPr>
              <w:t>100</w:t>
            </w:r>
          </w:p>
        </w:tc>
        <w:tc>
          <w:tcPr>
            <w:tcW w:w="1134" w:type="dxa"/>
            <w:vAlign w:val="center"/>
          </w:tcPr>
          <w:p w:rsidR="00EE0EE5" w:rsidRPr="006D09CC" w:rsidRDefault="00605ABB" w:rsidP="00EE0EE5">
            <w:pPr>
              <w:jc w:val="center"/>
              <w:rPr>
                <w:sz w:val="20"/>
                <w:szCs w:val="20"/>
              </w:rPr>
            </w:pPr>
            <w:r>
              <w:rPr>
                <w:sz w:val="20"/>
                <w:szCs w:val="20"/>
              </w:rPr>
              <w:t>100</w:t>
            </w:r>
          </w:p>
        </w:tc>
        <w:tc>
          <w:tcPr>
            <w:tcW w:w="1099" w:type="dxa"/>
            <w:vAlign w:val="center"/>
          </w:tcPr>
          <w:p w:rsidR="00EE0EE5" w:rsidRPr="006D09CC" w:rsidRDefault="00605ABB" w:rsidP="00EE0EE5">
            <w:pPr>
              <w:jc w:val="center"/>
              <w:rPr>
                <w:sz w:val="20"/>
                <w:szCs w:val="20"/>
              </w:rPr>
            </w:pPr>
            <w:r>
              <w:rPr>
                <w:sz w:val="20"/>
                <w:szCs w:val="20"/>
              </w:rPr>
              <w:t>100</w:t>
            </w:r>
          </w:p>
        </w:tc>
      </w:tr>
      <w:tr w:rsidR="00EE0EE5" w:rsidRPr="006D09CC" w:rsidTr="00414753">
        <w:trPr>
          <w:trHeight w:val="510"/>
          <w:jc w:val="center"/>
        </w:trPr>
        <w:tc>
          <w:tcPr>
            <w:tcW w:w="2410" w:type="dxa"/>
            <w:hideMark/>
          </w:tcPr>
          <w:p w:rsidR="00EE0EE5" w:rsidRPr="001E0253" w:rsidRDefault="00EE0EE5" w:rsidP="00EE0EE5">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EE0EE5" w:rsidRPr="006D09CC" w:rsidRDefault="009D70A4" w:rsidP="00EE0EE5">
            <w:pPr>
              <w:jc w:val="center"/>
              <w:rPr>
                <w:sz w:val="20"/>
                <w:szCs w:val="20"/>
              </w:rPr>
            </w:pPr>
            <w:r>
              <w:rPr>
                <w:sz w:val="20"/>
                <w:szCs w:val="20"/>
              </w:rPr>
              <w:t>3013,6</w:t>
            </w:r>
          </w:p>
        </w:tc>
        <w:tc>
          <w:tcPr>
            <w:tcW w:w="993" w:type="dxa"/>
            <w:vAlign w:val="center"/>
          </w:tcPr>
          <w:p w:rsidR="00EE0EE5" w:rsidRPr="006D09CC" w:rsidRDefault="00D3437D" w:rsidP="00EE0EE5">
            <w:pPr>
              <w:jc w:val="center"/>
              <w:rPr>
                <w:sz w:val="20"/>
                <w:szCs w:val="20"/>
              </w:rPr>
            </w:pPr>
            <w:r>
              <w:rPr>
                <w:sz w:val="20"/>
                <w:szCs w:val="20"/>
              </w:rPr>
              <w:t>2573,5</w:t>
            </w:r>
          </w:p>
        </w:tc>
        <w:tc>
          <w:tcPr>
            <w:tcW w:w="992" w:type="dxa"/>
            <w:vAlign w:val="center"/>
          </w:tcPr>
          <w:p w:rsidR="00EE0EE5" w:rsidRPr="006D09CC" w:rsidRDefault="00D3437D" w:rsidP="00EE0EE5">
            <w:pPr>
              <w:jc w:val="center"/>
              <w:rPr>
                <w:sz w:val="20"/>
                <w:szCs w:val="20"/>
              </w:rPr>
            </w:pPr>
            <w:r>
              <w:rPr>
                <w:sz w:val="20"/>
                <w:szCs w:val="20"/>
              </w:rPr>
              <w:t>2468,3</w:t>
            </w:r>
          </w:p>
        </w:tc>
        <w:tc>
          <w:tcPr>
            <w:tcW w:w="992" w:type="dxa"/>
            <w:vAlign w:val="center"/>
          </w:tcPr>
          <w:p w:rsidR="00EE0EE5" w:rsidRPr="006D09CC" w:rsidRDefault="00D3437D" w:rsidP="00EE0EE5">
            <w:pPr>
              <w:jc w:val="center"/>
              <w:rPr>
                <w:sz w:val="20"/>
                <w:szCs w:val="20"/>
              </w:rPr>
            </w:pPr>
            <w:r>
              <w:rPr>
                <w:sz w:val="20"/>
                <w:szCs w:val="20"/>
              </w:rPr>
              <w:t>2382,1</w:t>
            </w:r>
          </w:p>
        </w:tc>
        <w:tc>
          <w:tcPr>
            <w:tcW w:w="1134" w:type="dxa"/>
            <w:vAlign w:val="center"/>
          </w:tcPr>
          <w:p w:rsidR="00EE0EE5" w:rsidRPr="006D09CC" w:rsidRDefault="00605ABB" w:rsidP="00EE0EE5">
            <w:pPr>
              <w:jc w:val="center"/>
              <w:rPr>
                <w:sz w:val="20"/>
                <w:szCs w:val="20"/>
              </w:rPr>
            </w:pPr>
            <w:r>
              <w:rPr>
                <w:sz w:val="20"/>
                <w:szCs w:val="20"/>
              </w:rPr>
              <w:t>85,4</w:t>
            </w:r>
          </w:p>
        </w:tc>
        <w:tc>
          <w:tcPr>
            <w:tcW w:w="1134" w:type="dxa"/>
            <w:vAlign w:val="center"/>
          </w:tcPr>
          <w:p w:rsidR="00EE0EE5" w:rsidRPr="006D09CC" w:rsidRDefault="00605ABB" w:rsidP="00EE0EE5">
            <w:pPr>
              <w:jc w:val="center"/>
              <w:rPr>
                <w:sz w:val="20"/>
                <w:szCs w:val="20"/>
              </w:rPr>
            </w:pPr>
            <w:r>
              <w:rPr>
                <w:sz w:val="20"/>
                <w:szCs w:val="20"/>
              </w:rPr>
              <w:t>95,9</w:t>
            </w:r>
          </w:p>
        </w:tc>
        <w:tc>
          <w:tcPr>
            <w:tcW w:w="1099" w:type="dxa"/>
            <w:vAlign w:val="center"/>
          </w:tcPr>
          <w:p w:rsidR="00EE0EE5" w:rsidRPr="006D09CC" w:rsidRDefault="00605ABB" w:rsidP="00EE0EE5">
            <w:pPr>
              <w:jc w:val="center"/>
              <w:rPr>
                <w:sz w:val="20"/>
                <w:szCs w:val="20"/>
              </w:rPr>
            </w:pPr>
            <w:r>
              <w:rPr>
                <w:sz w:val="20"/>
                <w:szCs w:val="20"/>
              </w:rPr>
              <w:t>96,5</w:t>
            </w:r>
          </w:p>
        </w:tc>
      </w:tr>
      <w:tr w:rsidR="00EE0EE5" w:rsidRPr="006D09CC" w:rsidTr="00ED40A5">
        <w:trPr>
          <w:trHeight w:val="126"/>
          <w:jc w:val="center"/>
        </w:trPr>
        <w:tc>
          <w:tcPr>
            <w:tcW w:w="2410" w:type="dxa"/>
            <w:hideMark/>
          </w:tcPr>
          <w:p w:rsidR="00EE0EE5" w:rsidRPr="00883B52" w:rsidRDefault="00EE0EE5" w:rsidP="00EE0EE5">
            <w:pPr>
              <w:widowControl w:val="0"/>
              <w:rPr>
                <w:sz w:val="16"/>
                <w:szCs w:val="16"/>
              </w:rPr>
            </w:pPr>
            <w:r w:rsidRPr="00883B52">
              <w:rPr>
                <w:sz w:val="16"/>
                <w:szCs w:val="16"/>
              </w:rPr>
              <w:t>Резервный фонд (0111)</w:t>
            </w:r>
          </w:p>
        </w:tc>
        <w:tc>
          <w:tcPr>
            <w:tcW w:w="992" w:type="dxa"/>
            <w:vAlign w:val="center"/>
          </w:tcPr>
          <w:p w:rsidR="00EE0EE5" w:rsidRPr="006D09CC" w:rsidRDefault="009D70A4" w:rsidP="00EE0EE5">
            <w:pPr>
              <w:jc w:val="center"/>
              <w:rPr>
                <w:sz w:val="20"/>
                <w:szCs w:val="20"/>
              </w:rPr>
            </w:pPr>
            <w:r>
              <w:rPr>
                <w:sz w:val="20"/>
                <w:szCs w:val="20"/>
              </w:rPr>
              <w:t>5</w:t>
            </w:r>
          </w:p>
        </w:tc>
        <w:tc>
          <w:tcPr>
            <w:tcW w:w="993" w:type="dxa"/>
            <w:vAlign w:val="center"/>
          </w:tcPr>
          <w:p w:rsidR="00EE0EE5" w:rsidRPr="006D09CC" w:rsidRDefault="00D3437D" w:rsidP="00EE0EE5">
            <w:pPr>
              <w:jc w:val="center"/>
              <w:rPr>
                <w:sz w:val="20"/>
                <w:szCs w:val="20"/>
              </w:rPr>
            </w:pPr>
            <w:r>
              <w:rPr>
                <w:sz w:val="20"/>
                <w:szCs w:val="20"/>
              </w:rPr>
              <w:t>5</w:t>
            </w:r>
          </w:p>
        </w:tc>
        <w:tc>
          <w:tcPr>
            <w:tcW w:w="992" w:type="dxa"/>
            <w:vAlign w:val="center"/>
          </w:tcPr>
          <w:p w:rsidR="00EE0EE5" w:rsidRPr="006D09CC" w:rsidRDefault="00D3437D" w:rsidP="00EE0EE5">
            <w:pPr>
              <w:jc w:val="center"/>
              <w:rPr>
                <w:sz w:val="20"/>
                <w:szCs w:val="20"/>
              </w:rPr>
            </w:pPr>
            <w:r>
              <w:rPr>
                <w:sz w:val="20"/>
                <w:szCs w:val="20"/>
              </w:rPr>
              <w:t>5</w:t>
            </w:r>
          </w:p>
        </w:tc>
        <w:tc>
          <w:tcPr>
            <w:tcW w:w="992" w:type="dxa"/>
            <w:vAlign w:val="center"/>
          </w:tcPr>
          <w:p w:rsidR="00EE0EE5" w:rsidRPr="006D09CC" w:rsidRDefault="00D3437D" w:rsidP="00EE0EE5">
            <w:pPr>
              <w:jc w:val="center"/>
              <w:rPr>
                <w:sz w:val="20"/>
                <w:szCs w:val="20"/>
              </w:rPr>
            </w:pPr>
            <w:r>
              <w:rPr>
                <w:sz w:val="20"/>
                <w:szCs w:val="20"/>
              </w:rPr>
              <w:t>5</w:t>
            </w:r>
          </w:p>
        </w:tc>
        <w:tc>
          <w:tcPr>
            <w:tcW w:w="1134" w:type="dxa"/>
            <w:vAlign w:val="center"/>
          </w:tcPr>
          <w:p w:rsidR="00EE0EE5" w:rsidRPr="006D09CC" w:rsidRDefault="00605ABB" w:rsidP="00EE0EE5">
            <w:pPr>
              <w:jc w:val="center"/>
              <w:rPr>
                <w:sz w:val="20"/>
                <w:szCs w:val="20"/>
              </w:rPr>
            </w:pPr>
            <w:r>
              <w:rPr>
                <w:sz w:val="20"/>
                <w:szCs w:val="20"/>
              </w:rPr>
              <w:t>100</w:t>
            </w:r>
          </w:p>
        </w:tc>
        <w:tc>
          <w:tcPr>
            <w:tcW w:w="1134" w:type="dxa"/>
            <w:vAlign w:val="center"/>
          </w:tcPr>
          <w:p w:rsidR="00EE0EE5" w:rsidRPr="006D09CC" w:rsidRDefault="00605ABB" w:rsidP="00EE0EE5">
            <w:pPr>
              <w:jc w:val="center"/>
              <w:rPr>
                <w:sz w:val="20"/>
                <w:szCs w:val="20"/>
              </w:rPr>
            </w:pPr>
            <w:r>
              <w:rPr>
                <w:sz w:val="20"/>
                <w:szCs w:val="20"/>
              </w:rPr>
              <w:t>100</w:t>
            </w:r>
          </w:p>
        </w:tc>
        <w:tc>
          <w:tcPr>
            <w:tcW w:w="1099" w:type="dxa"/>
            <w:vAlign w:val="center"/>
          </w:tcPr>
          <w:p w:rsidR="00EE0EE5" w:rsidRPr="006D09CC" w:rsidRDefault="00605ABB" w:rsidP="00EE0EE5">
            <w:pPr>
              <w:jc w:val="center"/>
              <w:rPr>
                <w:sz w:val="20"/>
                <w:szCs w:val="20"/>
              </w:rPr>
            </w:pPr>
            <w:r>
              <w:rPr>
                <w:sz w:val="20"/>
                <w:szCs w:val="20"/>
              </w:rPr>
              <w:t>100</w:t>
            </w:r>
          </w:p>
        </w:tc>
      </w:tr>
      <w:tr w:rsidR="00EE0EE5" w:rsidRPr="006D09CC" w:rsidTr="00414753">
        <w:trPr>
          <w:trHeight w:val="271"/>
          <w:jc w:val="center"/>
        </w:trPr>
        <w:tc>
          <w:tcPr>
            <w:tcW w:w="2410" w:type="dxa"/>
            <w:hideMark/>
          </w:tcPr>
          <w:p w:rsidR="00EE0EE5" w:rsidRPr="00883B52" w:rsidRDefault="00EE0EE5" w:rsidP="00EE0EE5">
            <w:pPr>
              <w:widowControl w:val="0"/>
              <w:rPr>
                <w:sz w:val="16"/>
                <w:szCs w:val="16"/>
              </w:rPr>
            </w:pPr>
            <w:r w:rsidRPr="00883B52">
              <w:rPr>
                <w:sz w:val="16"/>
                <w:szCs w:val="16"/>
              </w:rPr>
              <w:t>Другие общегосударственные вопросы (0113)</w:t>
            </w:r>
          </w:p>
        </w:tc>
        <w:tc>
          <w:tcPr>
            <w:tcW w:w="992" w:type="dxa"/>
            <w:vAlign w:val="center"/>
          </w:tcPr>
          <w:p w:rsidR="00EE0EE5" w:rsidRPr="006D09CC" w:rsidRDefault="009D70A4" w:rsidP="00EE0EE5">
            <w:pPr>
              <w:jc w:val="center"/>
              <w:rPr>
                <w:sz w:val="20"/>
                <w:szCs w:val="20"/>
              </w:rPr>
            </w:pPr>
            <w:r>
              <w:rPr>
                <w:sz w:val="20"/>
                <w:szCs w:val="20"/>
              </w:rPr>
              <w:t>0,7</w:t>
            </w:r>
          </w:p>
        </w:tc>
        <w:tc>
          <w:tcPr>
            <w:tcW w:w="993" w:type="dxa"/>
            <w:vAlign w:val="center"/>
          </w:tcPr>
          <w:p w:rsidR="00EE0EE5" w:rsidRPr="006D09CC" w:rsidRDefault="00D3437D" w:rsidP="00EE0EE5">
            <w:pPr>
              <w:jc w:val="center"/>
              <w:rPr>
                <w:sz w:val="20"/>
                <w:szCs w:val="20"/>
              </w:rPr>
            </w:pPr>
            <w:r>
              <w:rPr>
                <w:sz w:val="20"/>
                <w:szCs w:val="20"/>
              </w:rPr>
              <w:t>0,7</w:t>
            </w:r>
          </w:p>
        </w:tc>
        <w:tc>
          <w:tcPr>
            <w:tcW w:w="992" w:type="dxa"/>
            <w:vAlign w:val="center"/>
          </w:tcPr>
          <w:p w:rsidR="00EE0EE5" w:rsidRPr="006D09CC" w:rsidRDefault="00D3437D" w:rsidP="00EE0EE5">
            <w:pPr>
              <w:jc w:val="center"/>
              <w:rPr>
                <w:sz w:val="20"/>
                <w:szCs w:val="20"/>
              </w:rPr>
            </w:pPr>
            <w:r>
              <w:rPr>
                <w:sz w:val="20"/>
                <w:szCs w:val="20"/>
              </w:rPr>
              <w:t>0,7</w:t>
            </w:r>
          </w:p>
        </w:tc>
        <w:tc>
          <w:tcPr>
            <w:tcW w:w="992" w:type="dxa"/>
            <w:vAlign w:val="center"/>
          </w:tcPr>
          <w:p w:rsidR="00EE0EE5" w:rsidRPr="006D09CC" w:rsidRDefault="00D3437D" w:rsidP="00EE0EE5">
            <w:pPr>
              <w:jc w:val="center"/>
              <w:rPr>
                <w:sz w:val="20"/>
                <w:szCs w:val="20"/>
              </w:rPr>
            </w:pPr>
            <w:r>
              <w:rPr>
                <w:sz w:val="20"/>
                <w:szCs w:val="20"/>
              </w:rPr>
              <w:t>0,7</w:t>
            </w:r>
          </w:p>
        </w:tc>
        <w:tc>
          <w:tcPr>
            <w:tcW w:w="1134" w:type="dxa"/>
            <w:vAlign w:val="center"/>
          </w:tcPr>
          <w:p w:rsidR="00EE0EE5" w:rsidRPr="006D09CC" w:rsidRDefault="00605ABB" w:rsidP="00EE0EE5">
            <w:pPr>
              <w:jc w:val="center"/>
              <w:rPr>
                <w:sz w:val="20"/>
                <w:szCs w:val="20"/>
              </w:rPr>
            </w:pPr>
            <w:r>
              <w:rPr>
                <w:sz w:val="20"/>
                <w:szCs w:val="20"/>
              </w:rPr>
              <w:t>100</w:t>
            </w:r>
          </w:p>
        </w:tc>
        <w:tc>
          <w:tcPr>
            <w:tcW w:w="1134" w:type="dxa"/>
            <w:vAlign w:val="center"/>
          </w:tcPr>
          <w:p w:rsidR="00EE0EE5" w:rsidRPr="006D09CC" w:rsidRDefault="00605ABB" w:rsidP="00EE0EE5">
            <w:pPr>
              <w:jc w:val="center"/>
              <w:rPr>
                <w:sz w:val="20"/>
                <w:szCs w:val="20"/>
              </w:rPr>
            </w:pPr>
            <w:r>
              <w:rPr>
                <w:sz w:val="20"/>
                <w:szCs w:val="20"/>
              </w:rPr>
              <w:t>100</w:t>
            </w:r>
          </w:p>
        </w:tc>
        <w:tc>
          <w:tcPr>
            <w:tcW w:w="1099" w:type="dxa"/>
            <w:vAlign w:val="center"/>
          </w:tcPr>
          <w:p w:rsidR="00EE0EE5" w:rsidRPr="006D09CC" w:rsidRDefault="00605ABB" w:rsidP="00EE0EE5">
            <w:pPr>
              <w:jc w:val="center"/>
              <w:rPr>
                <w:sz w:val="20"/>
                <w:szCs w:val="20"/>
              </w:rPr>
            </w:pPr>
            <w:r>
              <w:rPr>
                <w:sz w:val="20"/>
                <w:szCs w:val="20"/>
              </w:rPr>
              <w:t>100</w:t>
            </w:r>
          </w:p>
        </w:tc>
      </w:tr>
      <w:tr w:rsidR="00EE0EE5" w:rsidRPr="006D09CC" w:rsidTr="00414753">
        <w:trPr>
          <w:trHeight w:val="765"/>
          <w:jc w:val="center"/>
        </w:trPr>
        <w:tc>
          <w:tcPr>
            <w:tcW w:w="2410" w:type="dxa"/>
            <w:hideMark/>
          </w:tcPr>
          <w:p w:rsidR="00EE0EE5" w:rsidRPr="00883B52" w:rsidRDefault="00EE0EE5" w:rsidP="00EE0EE5">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EE0EE5" w:rsidRPr="00735EC6" w:rsidRDefault="006F20D9" w:rsidP="00EE0EE5">
            <w:pPr>
              <w:jc w:val="center"/>
              <w:rPr>
                <w:b/>
                <w:sz w:val="20"/>
                <w:szCs w:val="20"/>
              </w:rPr>
            </w:pPr>
            <w:r>
              <w:rPr>
                <w:b/>
                <w:sz w:val="20"/>
                <w:szCs w:val="20"/>
              </w:rPr>
              <w:t>173,7</w:t>
            </w:r>
          </w:p>
        </w:tc>
        <w:tc>
          <w:tcPr>
            <w:tcW w:w="993" w:type="dxa"/>
            <w:vAlign w:val="center"/>
          </w:tcPr>
          <w:p w:rsidR="00EE0EE5" w:rsidRPr="00735EC6" w:rsidRDefault="00D3437D" w:rsidP="00EE0EE5">
            <w:pPr>
              <w:jc w:val="center"/>
              <w:rPr>
                <w:b/>
                <w:sz w:val="20"/>
                <w:szCs w:val="20"/>
              </w:rPr>
            </w:pPr>
            <w:r>
              <w:rPr>
                <w:b/>
                <w:sz w:val="20"/>
                <w:szCs w:val="20"/>
              </w:rPr>
              <w:t>182,7</w:t>
            </w:r>
          </w:p>
        </w:tc>
        <w:tc>
          <w:tcPr>
            <w:tcW w:w="992" w:type="dxa"/>
            <w:vAlign w:val="center"/>
          </w:tcPr>
          <w:p w:rsidR="00EE0EE5" w:rsidRPr="00735EC6" w:rsidRDefault="00D3437D" w:rsidP="00EE0EE5">
            <w:pPr>
              <w:jc w:val="center"/>
              <w:rPr>
                <w:b/>
                <w:sz w:val="20"/>
                <w:szCs w:val="20"/>
              </w:rPr>
            </w:pPr>
            <w:r>
              <w:rPr>
                <w:b/>
                <w:sz w:val="20"/>
                <w:szCs w:val="20"/>
              </w:rPr>
              <w:t>189,5</w:t>
            </w:r>
          </w:p>
        </w:tc>
        <w:tc>
          <w:tcPr>
            <w:tcW w:w="992" w:type="dxa"/>
            <w:vAlign w:val="center"/>
          </w:tcPr>
          <w:p w:rsidR="00EE0EE5" w:rsidRPr="00735EC6" w:rsidRDefault="00D3437D" w:rsidP="00EE0EE5">
            <w:pPr>
              <w:jc w:val="center"/>
              <w:rPr>
                <w:b/>
                <w:sz w:val="20"/>
                <w:szCs w:val="20"/>
              </w:rPr>
            </w:pPr>
            <w:r>
              <w:rPr>
                <w:b/>
                <w:sz w:val="20"/>
                <w:szCs w:val="20"/>
              </w:rPr>
              <w:t>0,0</w:t>
            </w:r>
          </w:p>
        </w:tc>
        <w:tc>
          <w:tcPr>
            <w:tcW w:w="1134" w:type="dxa"/>
            <w:vAlign w:val="center"/>
          </w:tcPr>
          <w:p w:rsidR="00EE0EE5" w:rsidRPr="00735EC6" w:rsidRDefault="00605ABB" w:rsidP="00EE0EE5">
            <w:pPr>
              <w:jc w:val="center"/>
              <w:rPr>
                <w:b/>
                <w:sz w:val="20"/>
                <w:szCs w:val="20"/>
              </w:rPr>
            </w:pPr>
            <w:r>
              <w:rPr>
                <w:b/>
                <w:sz w:val="20"/>
                <w:szCs w:val="20"/>
              </w:rPr>
              <w:t>105,2</w:t>
            </w:r>
          </w:p>
        </w:tc>
        <w:tc>
          <w:tcPr>
            <w:tcW w:w="1134" w:type="dxa"/>
            <w:vAlign w:val="center"/>
          </w:tcPr>
          <w:p w:rsidR="00EE0EE5" w:rsidRPr="00735EC6" w:rsidRDefault="00605ABB" w:rsidP="00EE0EE5">
            <w:pPr>
              <w:jc w:val="center"/>
              <w:rPr>
                <w:b/>
                <w:sz w:val="20"/>
                <w:szCs w:val="20"/>
              </w:rPr>
            </w:pPr>
            <w:r>
              <w:rPr>
                <w:b/>
                <w:sz w:val="20"/>
                <w:szCs w:val="20"/>
              </w:rPr>
              <w:t>103,7</w:t>
            </w:r>
          </w:p>
        </w:tc>
        <w:tc>
          <w:tcPr>
            <w:tcW w:w="1099" w:type="dxa"/>
            <w:vAlign w:val="center"/>
          </w:tcPr>
          <w:p w:rsidR="00EE0EE5" w:rsidRPr="00735EC6" w:rsidRDefault="00605ABB" w:rsidP="00EE0EE5">
            <w:pPr>
              <w:jc w:val="center"/>
              <w:rPr>
                <w:b/>
                <w:sz w:val="20"/>
                <w:szCs w:val="20"/>
              </w:rPr>
            </w:pPr>
            <w:r>
              <w:rPr>
                <w:b/>
                <w:sz w:val="20"/>
                <w:szCs w:val="20"/>
              </w:rPr>
              <w:t>-</w:t>
            </w:r>
          </w:p>
        </w:tc>
      </w:tr>
      <w:tr w:rsidR="00EE0EE5" w:rsidRPr="006D09CC" w:rsidTr="00414753">
        <w:trPr>
          <w:trHeight w:val="300"/>
          <w:jc w:val="center"/>
        </w:trPr>
        <w:tc>
          <w:tcPr>
            <w:tcW w:w="2410" w:type="dxa"/>
            <w:hideMark/>
          </w:tcPr>
          <w:p w:rsidR="00EE0EE5" w:rsidRPr="00832FBF" w:rsidRDefault="00EE0EE5" w:rsidP="006F20D9">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w:t>
            </w:r>
          </w:p>
        </w:tc>
        <w:tc>
          <w:tcPr>
            <w:tcW w:w="992" w:type="dxa"/>
            <w:vAlign w:val="center"/>
          </w:tcPr>
          <w:p w:rsidR="00EE0EE5" w:rsidRPr="006D09CC" w:rsidRDefault="006F20D9" w:rsidP="00EE0EE5">
            <w:pPr>
              <w:jc w:val="center"/>
              <w:rPr>
                <w:b/>
                <w:bCs/>
                <w:sz w:val="20"/>
                <w:szCs w:val="20"/>
              </w:rPr>
            </w:pPr>
            <w:r>
              <w:rPr>
                <w:b/>
                <w:bCs/>
                <w:sz w:val="20"/>
                <w:szCs w:val="20"/>
              </w:rPr>
              <w:t>9101</w:t>
            </w:r>
          </w:p>
        </w:tc>
        <w:tc>
          <w:tcPr>
            <w:tcW w:w="993" w:type="dxa"/>
            <w:vAlign w:val="center"/>
          </w:tcPr>
          <w:p w:rsidR="00EE0EE5" w:rsidRPr="006D09CC" w:rsidRDefault="00D3437D" w:rsidP="00EE0EE5">
            <w:pPr>
              <w:jc w:val="center"/>
              <w:rPr>
                <w:b/>
                <w:bCs/>
                <w:sz w:val="20"/>
                <w:szCs w:val="20"/>
              </w:rPr>
            </w:pPr>
            <w:r>
              <w:rPr>
                <w:b/>
                <w:bCs/>
                <w:sz w:val="20"/>
                <w:szCs w:val="20"/>
              </w:rPr>
              <w:t>51</w:t>
            </w:r>
          </w:p>
        </w:tc>
        <w:tc>
          <w:tcPr>
            <w:tcW w:w="992" w:type="dxa"/>
            <w:vAlign w:val="center"/>
          </w:tcPr>
          <w:p w:rsidR="00EE0EE5" w:rsidRPr="006D09CC" w:rsidRDefault="00D3437D" w:rsidP="00EE0EE5">
            <w:pPr>
              <w:jc w:val="center"/>
              <w:rPr>
                <w:b/>
                <w:bCs/>
                <w:sz w:val="20"/>
                <w:szCs w:val="20"/>
              </w:rPr>
            </w:pPr>
            <w:r>
              <w:rPr>
                <w:b/>
                <w:bCs/>
                <w:sz w:val="20"/>
                <w:szCs w:val="20"/>
              </w:rPr>
              <w:t>6</w:t>
            </w:r>
          </w:p>
        </w:tc>
        <w:tc>
          <w:tcPr>
            <w:tcW w:w="992" w:type="dxa"/>
            <w:vAlign w:val="center"/>
          </w:tcPr>
          <w:p w:rsidR="00EE0EE5" w:rsidRPr="006D09CC" w:rsidRDefault="00D3437D" w:rsidP="00EE0EE5">
            <w:pPr>
              <w:jc w:val="center"/>
              <w:rPr>
                <w:b/>
                <w:bCs/>
                <w:sz w:val="20"/>
                <w:szCs w:val="20"/>
              </w:rPr>
            </w:pPr>
            <w:r>
              <w:rPr>
                <w:b/>
                <w:bCs/>
                <w:sz w:val="20"/>
                <w:szCs w:val="20"/>
              </w:rPr>
              <w:t>0,0</w:t>
            </w:r>
          </w:p>
        </w:tc>
        <w:tc>
          <w:tcPr>
            <w:tcW w:w="1134" w:type="dxa"/>
            <w:vAlign w:val="center"/>
          </w:tcPr>
          <w:p w:rsidR="00EE0EE5" w:rsidRPr="006D09CC" w:rsidRDefault="00605ABB" w:rsidP="00EE0EE5">
            <w:pPr>
              <w:jc w:val="center"/>
              <w:rPr>
                <w:b/>
                <w:bCs/>
                <w:sz w:val="20"/>
                <w:szCs w:val="20"/>
              </w:rPr>
            </w:pPr>
            <w:r>
              <w:rPr>
                <w:b/>
                <w:bCs/>
                <w:sz w:val="20"/>
                <w:szCs w:val="20"/>
              </w:rPr>
              <w:t>0,6</w:t>
            </w:r>
          </w:p>
        </w:tc>
        <w:tc>
          <w:tcPr>
            <w:tcW w:w="1134" w:type="dxa"/>
            <w:vAlign w:val="center"/>
          </w:tcPr>
          <w:p w:rsidR="00EE0EE5" w:rsidRPr="006D09CC" w:rsidRDefault="00605ABB" w:rsidP="00EE0EE5">
            <w:pPr>
              <w:jc w:val="center"/>
              <w:rPr>
                <w:b/>
                <w:bCs/>
                <w:sz w:val="20"/>
                <w:szCs w:val="20"/>
              </w:rPr>
            </w:pPr>
            <w:r>
              <w:rPr>
                <w:b/>
                <w:bCs/>
                <w:sz w:val="20"/>
                <w:szCs w:val="20"/>
              </w:rPr>
              <w:t>11,8</w:t>
            </w:r>
          </w:p>
        </w:tc>
        <w:tc>
          <w:tcPr>
            <w:tcW w:w="1099" w:type="dxa"/>
            <w:vAlign w:val="center"/>
          </w:tcPr>
          <w:p w:rsidR="00EE0EE5" w:rsidRPr="006D09CC" w:rsidRDefault="00605ABB" w:rsidP="00EE0EE5">
            <w:pPr>
              <w:jc w:val="center"/>
              <w:rPr>
                <w:b/>
                <w:bCs/>
                <w:sz w:val="20"/>
                <w:szCs w:val="20"/>
              </w:rPr>
            </w:pPr>
            <w:r>
              <w:rPr>
                <w:b/>
                <w:bCs/>
                <w:sz w:val="20"/>
                <w:szCs w:val="20"/>
              </w:rPr>
              <w:t>-</w:t>
            </w:r>
          </w:p>
        </w:tc>
      </w:tr>
      <w:tr w:rsidR="006F20D9" w:rsidRPr="006D09CC" w:rsidTr="006F20D9">
        <w:trPr>
          <w:trHeight w:val="241"/>
          <w:jc w:val="center"/>
        </w:trPr>
        <w:tc>
          <w:tcPr>
            <w:tcW w:w="2410" w:type="dxa"/>
          </w:tcPr>
          <w:p w:rsidR="006F20D9" w:rsidRPr="006F20D9" w:rsidRDefault="006F20D9" w:rsidP="00EE0EE5">
            <w:pPr>
              <w:widowControl w:val="0"/>
              <w:rPr>
                <w:bCs/>
                <w:sz w:val="16"/>
                <w:szCs w:val="16"/>
              </w:rPr>
            </w:pPr>
            <w:r>
              <w:rPr>
                <w:bCs/>
                <w:sz w:val="16"/>
                <w:szCs w:val="16"/>
              </w:rPr>
              <w:t>Гражданская оборона (0309)</w:t>
            </w:r>
          </w:p>
        </w:tc>
        <w:tc>
          <w:tcPr>
            <w:tcW w:w="992" w:type="dxa"/>
            <w:vAlign w:val="center"/>
          </w:tcPr>
          <w:p w:rsidR="006F20D9" w:rsidRPr="006F20D9" w:rsidRDefault="006F20D9" w:rsidP="00EE0EE5">
            <w:pPr>
              <w:jc w:val="center"/>
              <w:rPr>
                <w:bCs/>
                <w:sz w:val="20"/>
                <w:szCs w:val="20"/>
              </w:rPr>
            </w:pPr>
            <w:r w:rsidRPr="006F20D9">
              <w:rPr>
                <w:bCs/>
                <w:sz w:val="20"/>
                <w:szCs w:val="20"/>
              </w:rPr>
              <w:t>5</w:t>
            </w:r>
          </w:p>
        </w:tc>
        <w:tc>
          <w:tcPr>
            <w:tcW w:w="993" w:type="dxa"/>
            <w:vAlign w:val="center"/>
          </w:tcPr>
          <w:p w:rsidR="006F20D9" w:rsidRPr="006F20D9" w:rsidRDefault="00D3437D" w:rsidP="00EE0EE5">
            <w:pPr>
              <w:jc w:val="center"/>
              <w:rPr>
                <w:bCs/>
                <w:sz w:val="20"/>
                <w:szCs w:val="20"/>
              </w:rPr>
            </w:pPr>
            <w:r>
              <w:rPr>
                <w:bCs/>
                <w:sz w:val="20"/>
                <w:szCs w:val="20"/>
              </w:rPr>
              <w:t>1</w:t>
            </w:r>
          </w:p>
        </w:tc>
        <w:tc>
          <w:tcPr>
            <w:tcW w:w="992" w:type="dxa"/>
            <w:vAlign w:val="center"/>
          </w:tcPr>
          <w:p w:rsidR="006F20D9" w:rsidRPr="006F20D9" w:rsidRDefault="00D3437D" w:rsidP="00EE0EE5">
            <w:pPr>
              <w:jc w:val="center"/>
              <w:rPr>
                <w:bCs/>
                <w:sz w:val="20"/>
                <w:szCs w:val="20"/>
              </w:rPr>
            </w:pPr>
            <w:r>
              <w:rPr>
                <w:bCs/>
                <w:sz w:val="20"/>
                <w:szCs w:val="20"/>
              </w:rPr>
              <w:t>1</w:t>
            </w:r>
          </w:p>
        </w:tc>
        <w:tc>
          <w:tcPr>
            <w:tcW w:w="992" w:type="dxa"/>
            <w:vAlign w:val="center"/>
          </w:tcPr>
          <w:p w:rsidR="006F20D9" w:rsidRPr="006F20D9" w:rsidRDefault="00D3437D" w:rsidP="00EE0EE5">
            <w:pPr>
              <w:jc w:val="center"/>
              <w:rPr>
                <w:bCs/>
                <w:sz w:val="20"/>
                <w:szCs w:val="20"/>
              </w:rPr>
            </w:pPr>
            <w:r>
              <w:rPr>
                <w:bCs/>
                <w:sz w:val="20"/>
                <w:szCs w:val="20"/>
              </w:rPr>
              <w:t>0,0</w:t>
            </w:r>
          </w:p>
        </w:tc>
        <w:tc>
          <w:tcPr>
            <w:tcW w:w="1134" w:type="dxa"/>
            <w:vAlign w:val="center"/>
          </w:tcPr>
          <w:p w:rsidR="006F20D9" w:rsidRPr="006F20D9" w:rsidRDefault="00605ABB" w:rsidP="00EE0EE5">
            <w:pPr>
              <w:jc w:val="center"/>
              <w:rPr>
                <w:bCs/>
                <w:sz w:val="20"/>
                <w:szCs w:val="20"/>
              </w:rPr>
            </w:pPr>
            <w:r>
              <w:rPr>
                <w:bCs/>
                <w:sz w:val="20"/>
                <w:szCs w:val="20"/>
              </w:rPr>
              <w:t>20</w:t>
            </w:r>
          </w:p>
        </w:tc>
        <w:tc>
          <w:tcPr>
            <w:tcW w:w="1134" w:type="dxa"/>
            <w:vAlign w:val="center"/>
          </w:tcPr>
          <w:p w:rsidR="006F20D9" w:rsidRPr="006F20D9" w:rsidRDefault="00605ABB" w:rsidP="00EE0EE5">
            <w:pPr>
              <w:jc w:val="center"/>
              <w:rPr>
                <w:bCs/>
                <w:sz w:val="20"/>
                <w:szCs w:val="20"/>
              </w:rPr>
            </w:pPr>
            <w:r>
              <w:rPr>
                <w:bCs/>
                <w:sz w:val="20"/>
                <w:szCs w:val="20"/>
              </w:rPr>
              <w:t>100</w:t>
            </w:r>
          </w:p>
        </w:tc>
        <w:tc>
          <w:tcPr>
            <w:tcW w:w="1099" w:type="dxa"/>
            <w:vAlign w:val="center"/>
          </w:tcPr>
          <w:p w:rsidR="006F20D9" w:rsidRPr="006F20D9" w:rsidRDefault="00605ABB" w:rsidP="00EE0EE5">
            <w:pPr>
              <w:jc w:val="center"/>
              <w:rPr>
                <w:bCs/>
                <w:sz w:val="20"/>
                <w:szCs w:val="20"/>
              </w:rPr>
            </w:pPr>
            <w:r>
              <w:rPr>
                <w:bCs/>
                <w:sz w:val="20"/>
                <w:szCs w:val="20"/>
              </w:rPr>
              <w:t>-</w:t>
            </w:r>
          </w:p>
        </w:tc>
      </w:tr>
      <w:tr w:rsidR="006F20D9" w:rsidRPr="006D09CC" w:rsidTr="00414753">
        <w:trPr>
          <w:trHeight w:val="300"/>
          <w:jc w:val="center"/>
        </w:trPr>
        <w:tc>
          <w:tcPr>
            <w:tcW w:w="2410" w:type="dxa"/>
          </w:tcPr>
          <w:p w:rsidR="006F20D9" w:rsidRPr="006F20D9" w:rsidRDefault="006F20D9" w:rsidP="00EE0EE5">
            <w:pPr>
              <w:widowControl w:val="0"/>
              <w:rPr>
                <w:bCs/>
                <w:sz w:val="16"/>
                <w:szCs w:val="16"/>
              </w:rPr>
            </w:pPr>
            <w:r w:rsidRPr="006F20D9">
              <w:rPr>
                <w:sz w:val="16"/>
                <w:szCs w:val="16"/>
              </w:rPr>
              <w:lastRenderedPageBreak/>
              <w:t>Защита населения и территории от чрезвычайных ситуаций природного и техногенного характера, пожарная безопасность  (0310)</w:t>
            </w:r>
          </w:p>
        </w:tc>
        <w:tc>
          <w:tcPr>
            <w:tcW w:w="992" w:type="dxa"/>
            <w:vAlign w:val="center"/>
          </w:tcPr>
          <w:p w:rsidR="006F20D9" w:rsidRPr="006F20D9" w:rsidRDefault="006F20D9" w:rsidP="00EE0EE5">
            <w:pPr>
              <w:jc w:val="center"/>
              <w:rPr>
                <w:bCs/>
                <w:sz w:val="20"/>
                <w:szCs w:val="20"/>
              </w:rPr>
            </w:pPr>
            <w:r w:rsidRPr="006F20D9">
              <w:rPr>
                <w:bCs/>
                <w:sz w:val="20"/>
                <w:szCs w:val="20"/>
              </w:rPr>
              <w:t>9096</w:t>
            </w:r>
          </w:p>
        </w:tc>
        <w:tc>
          <w:tcPr>
            <w:tcW w:w="993" w:type="dxa"/>
            <w:vAlign w:val="center"/>
          </w:tcPr>
          <w:p w:rsidR="006F20D9" w:rsidRPr="006F20D9" w:rsidRDefault="00D3437D" w:rsidP="00EE0EE5">
            <w:pPr>
              <w:jc w:val="center"/>
              <w:rPr>
                <w:bCs/>
                <w:sz w:val="20"/>
                <w:szCs w:val="20"/>
              </w:rPr>
            </w:pPr>
            <w:r>
              <w:rPr>
                <w:bCs/>
                <w:sz w:val="20"/>
                <w:szCs w:val="20"/>
              </w:rPr>
              <w:t>50</w:t>
            </w:r>
          </w:p>
        </w:tc>
        <w:tc>
          <w:tcPr>
            <w:tcW w:w="992" w:type="dxa"/>
            <w:vAlign w:val="center"/>
          </w:tcPr>
          <w:p w:rsidR="006F20D9" w:rsidRPr="006F20D9" w:rsidRDefault="00D3437D" w:rsidP="00EE0EE5">
            <w:pPr>
              <w:jc w:val="center"/>
              <w:rPr>
                <w:bCs/>
                <w:sz w:val="20"/>
                <w:szCs w:val="20"/>
              </w:rPr>
            </w:pPr>
            <w:r>
              <w:rPr>
                <w:bCs/>
                <w:sz w:val="20"/>
                <w:szCs w:val="20"/>
              </w:rPr>
              <w:t>5</w:t>
            </w:r>
          </w:p>
        </w:tc>
        <w:tc>
          <w:tcPr>
            <w:tcW w:w="992" w:type="dxa"/>
            <w:vAlign w:val="center"/>
          </w:tcPr>
          <w:p w:rsidR="006F20D9" w:rsidRPr="006F20D9" w:rsidRDefault="00D3437D" w:rsidP="00EE0EE5">
            <w:pPr>
              <w:jc w:val="center"/>
              <w:rPr>
                <w:bCs/>
                <w:sz w:val="20"/>
                <w:szCs w:val="20"/>
              </w:rPr>
            </w:pPr>
            <w:r>
              <w:rPr>
                <w:bCs/>
                <w:sz w:val="20"/>
                <w:szCs w:val="20"/>
              </w:rPr>
              <w:t>0,0</w:t>
            </w:r>
          </w:p>
        </w:tc>
        <w:tc>
          <w:tcPr>
            <w:tcW w:w="1134" w:type="dxa"/>
            <w:vAlign w:val="center"/>
          </w:tcPr>
          <w:p w:rsidR="006F20D9" w:rsidRPr="006F20D9" w:rsidRDefault="00605ABB" w:rsidP="00EE0EE5">
            <w:pPr>
              <w:jc w:val="center"/>
              <w:rPr>
                <w:bCs/>
                <w:sz w:val="20"/>
                <w:szCs w:val="20"/>
              </w:rPr>
            </w:pPr>
            <w:r>
              <w:rPr>
                <w:bCs/>
                <w:sz w:val="20"/>
                <w:szCs w:val="20"/>
              </w:rPr>
              <w:t>0,5</w:t>
            </w:r>
          </w:p>
        </w:tc>
        <w:tc>
          <w:tcPr>
            <w:tcW w:w="1134" w:type="dxa"/>
            <w:vAlign w:val="center"/>
          </w:tcPr>
          <w:p w:rsidR="006F20D9" w:rsidRPr="006F20D9" w:rsidRDefault="00605ABB" w:rsidP="00EE0EE5">
            <w:pPr>
              <w:jc w:val="center"/>
              <w:rPr>
                <w:bCs/>
                <w:sz w:val="20"/>
                <w:szCs w:val="20"/>
              </w:rPr>
            </w:pPr>
            <w:r>
              <w:rPr>
                <w:bCs/>
                <w:sz w:val="20"/>
                <w:szCs w:val="20"/>
              </w:rPr>
              <w:t>10</w:t>
            </w:r>
          </w:p>
        </w:tc>
        <w:tc>
          <w:tcPr>
            <w:tcW w:w="1099" w:type="dxa"/>
            <w:vAlign w:val="center"/>
          </w:tcPr>
          <w:p w:rsidR="006F20D9" w:rsidRPr="006F20D9" w:rsidRDefault="00605ABB" w:rsidP="00EE0EE5">
            <w:pPr>
              <w:jc w:val="center"/>
              <w:rPr>
                <w:bCs/>
                <w:sz w:val="20"/>
                <w:szCs w:val="20"/>
              </w:rPr>
            </w:pPr>
            <w:r>
              <w:rPr>
                <w:bCs/>
                <w:sz w:val="20"/>
                <w:szCs w:val="20"/>
              </w:rPr>
              <w:t>-</w:t>
            </w:r>
          </w:p>
        </w:tc>
      </w:tr>
      <w:tr w:rsidR="00EE0EE5" w:rsidRPr="006D09CC" w:rsidTr="00414753">
        <w:trPr>
          <w:trHeight w:val="195"/>
          <w:jc w:val="center"/>
        </w:trPr>
        <w:tc>
          <w:tcPr>
            <w:tcW w:w="2410" w:type="dxa"/>
          </w:tcPr>
          <w:p w:rsidR="00EE0EE5" w:rsidRPr="00DB5C6B" w:rsidRDefault="00EE0EE5" w:rsidP="00EE0EE5">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EE0EE5" w:rsidRPr="006D09CC" w:rsidRDefault="006F20D9" w:rsidP="00EE0EE5">
            <w:pPr>
              <w:jc w:val="center"/>
              <w:rPr>
                <w:b/>
                <w:bCs/>
                <w:sz w:val="20"/>
                <w:szCs w:val="20"/>
              </w:rPr>
            </w:pPr>
            <w:r>
              <w:rPr>
                <w:b/>
                <w:bCs/>
                <w:sz w:val="20"/>
                <w:szCs w:val="20"/>
              </w:rPr>
              <w:t>1415</w:t>
            </w:r>
          </w:p>
        </w:tc>
        <w:tc>
          <w:tcPr>
            <w:tcW w:w="993" w:type="dxa"/>
            <w:vAlign w:val="center"/>
          </w:tcPr>
          <w:p w:rsidR="00EE0EE5" w:rsidRPr="006D09CC" w:rsidRDefault="00D3437D" w:rsidP="00EE0EE5">
            <w:pPr>
              <w:jc w:val="center"/>
              <w:rPr>
                <w:b/>
                <w:bCs/>
                <w:sz w:val="20"/>
                <w:szCs w:val="20"/>
              </w:rPr>
            </w:pPr>
            <w:r>
              <w:rPr>
                <w:b/>
                <w:bCs/>
                <w:sz w:val="20"/>
                <w:szCs w:val="20"/>
              </w:rPr>
              <w:t>360</w:t>
            </w:r>
          </w:p>
        </w:tc>
        <w:tc>
          <w:tcPr>
            <w:tcW w:w="992" w:type="dxa"/>
            <w:vAlign w:val="center"/>
          </w:tcPr>
          <w:p w:rsidR="00EE0EE5" w:rsidRPr="006D09CC" w:rsidRDefault="00D3437D" w:rsidP="00EE0EE5">
            <w:pPr>
              <w:jc w:val="center"/>
              <w:rPr>
                <w:b/>
                <w:bCs/>
                <w:sz w:val="20"/>
                <w:szCs w:val="20"/>
              </w:rPr>
            </w:pPr>
            <w:r>
              <w:rPr>
                <w:b/>
                <w:bCs/>
                <w:sz w:val="20"/>
                <w:szCs w:val="20"/>
              </w:rPr>
              <w:t>370,9</w:t>
            </w:r>
          </w:p>
        </w:tc>
        <w:tc>
          <w:tcPr>
            <w:tcW w:w="992" w:type="dxa"/>
            <w:vAlign w:val="center"/>
          </w:tcPr>
          <w:p w:rsidR="00EE0EE5" w:rsidRPr="006D09CC" w:rsidRDefault="00D3437D" w:rsidP="00EE0EE5">
            <w:pPr>
              <w:jc w:val="center"/>
              <w:rPr>
                <w:b/>
                <w:bCs/>
                <w:sz w:val="20"/>
                <w:szCs w:val="20"/>
              </w:rPr>
            </w:pPr>
            <w:r>
              <w:rPr>
                <w:b/>
                <w:bCs/>
                <w:sz w:val="20"/>
                <w:szCs w:val="20"/>
              </w:rPr>
              <w:t>383,8</w:t>
            </w:r>
          </w:p>
        </w:tc>
        <w:tc>
          <w:tcPr>
            <w:tcW w:w="1134" w:type="dxa"/>
            <w:vAlign w:val="center"/>
          </w:tcPr>
          <w:p w:rsidR="00EE0EE5" w:rsidRPr="006D09CC" w:rsidRDefault="00605ABB" w:rsidP="00EE0EE5">
            <w:pPr>
              <w:jc w:val="center"/>
              <w:rPr>
                <w:b/>
                <w:bCs/>
                <w:sz w:val="20"/>
                <w:szCs w:val="20"/>
              </w:rPr>
            </w:pPr>
            <w:r>
              <w:rPr>
                <w:b/>
                <w:bCs/>
                <w:sz w:val="20"/>
                <w:szCs w:val="20"/>
              </w:rPr>
              <w:t>25,4</w:t>
            </w:r>
          </w:p>
        </w:tc>
        <w:tc>
          <w:tcPr>
            <w:tcW w:w="1134" w:type="dxa"/>
            <w:vAlign w:val="center"/>
          </w:tcPr>
          <w:p w:rsidR="00EE0EE5" w:rsidRPr="006D09CC" w:rsidRDefault="00605ABB" w:rsidP="00EE0EE5">
            <w:pPr>
              <w:jc w:val="center"/>
              <w:rPr>
                <w:b/>
                <w:bCs/>
                <w:sz w:val="20"/>
                <w:szCs w:val="20"/>
              </w:rPr>
            </w:pPr>
            <w:r>
              <w:rPr>
                <w:b/>
                <w:bCs/>
                <w:sz w:val="20"/>
                <w:szCs w:val="20"/>
              </w:rPr>
              <w:t>103</w:t>
            </w:r>
          </w:p>
        </w:tc>
        <w:tc>
          <w:tcPr>
            <w:tcW w:w="1099" w:type="dxa"/>
            <w:vAlign w:val="center"/>
          </w:tcPr>
          <w:p w:rsidR="00EE0EE5" w:rsidRPr="006D09CC" w:rsidRDefault="00605ABB" w:rsidP="00EE0EE5">
            <w:pPr>
              <w:jc w:val="center"/>
              <w:rPr>
                <w:b/>
                <w:bCs/>
                <w:sz w:val="20"/>
                <w:szCs w:val="20"/>
              </w:rPr>
            </w:pPr>
            <w:r>
              <w:rPr>
                <w:b/>
                <w:bCs/>
                <w:sz w:val="20"/>
                <w:szCs w:val="20"/>
              </w:rPr>
              <w:t>103,5</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EE0EE5" w:rsidRPr="00735EC6" w:rsidRDefault="006F20D9" w:rsidP="00EE0EE5">
            <w:pPr>
              <w:jc w:val="center"/>
              <w:rPr>
                <w:bCs/>
                <w:sz w:val="20"/>
                <w:szCs w:val="20"/>
              </w:rPr>
            </w:pPr>
            <w:r>
              <w:rPr>
                <w:bCs/>
                <w:sz w:val="20"/>
                <w:szCs w:val="20"/>
              </w:rPr>
              <w:t>1407</w:t>
            </w:r>
          </w:p>
        </w:tc>
        <w:tc>
          <w:tcPr>
            <w:tcW w:w="993" w:type="dxa"/>
            <w:vAlign w:val="center"/>
          </w:tcPr>
          <w:p w:rsidR="00EE0EE5" w:rsidRPr="00735EC6" w:rsidRDefault="00D3437D" w:rsidP="00EE0EE5">
            <w:pPr>
              <w:jc w:val="center"/>
              <w:rPr>
                <w:bCs/>
                <w:sz w:val="20"/>
                <w:szCs w:val="20"/>
              </w:rPr>
            </w:pPr>
            <w:r>
              <w:rPr>
                <w:bCs/>
                <w:sz w:val="20"/>
                <w:szCs w:val="20"/>
              </w:rPr>
              <w:t>360</w:t>
            </w:r>
          </w:p>
        </w:tc>
        <w:tc>
          <w:tcPr>
            <w:tcW w:w="992" w:type="dxa"/>
            <w:vAlign w:val="center"/>
          </w:tcPr>
          <w:p w:rsidR="00EE0EE5" w:rsidRPr="00735EC6" w:rsidRDefault="00D3437D" w:rsidP="00EE0EE5">
            <w:pPr>
              <w:jc w:val="center"/>
              <w:rPr>
                <w:bCs/>
                <w:sz w:val="20"/>
                <w:szCs w:val="20"/>
              </w:rPr>
            </w:pPr>
            <w:r>
              <w:rPr>
                <w:bCs/>
                <w:sz w:val="20"/>
                <w:szCs w:val="20"/>
              </w:rPr>
              <w:t>370,9</w:t>
            </w:r>
          </w:p>
        </w:tc>
        <w:tc>
          <w:tcPr>
            <w:tcW w:w="992" w:type="dxa"/>
            <w:vAlign w:val="center"/>
          </w:tcPr>
          <w:p w:rsidR="00EE0EE5" w:rsidRPr="00735EC6" w:rsidRDefault="00D3437D" w:rsidP="00EE0EE5">
            <w:pPr>
              <w:jc w:val="center"/>
              <w:rPr>
                <w:bCs/>
                <w:sz w:val="20"/>
                <w:szCs w:val="20"/>
              </w:rPr>
            </w:pPr>
            <w:r>
              <w:rPr>
                <w:bCs/>
                <w:sz w:val="20"/>
                <w:szCs w:val="20"/>
              </w:rPr>
              <w:t>383,8</w:t>
            </w:r>
          </w:p>
        </w:tc>
        <w:tc>
          <w:tcPr>
            <w:tcW w:w="1134" w:type="dxa"/>
            <w:vAlign w:val="center"/>
          </w:tcPr>
          <w:p w:rsidR="00EE0EE5" w:rsidRPr="00735EC6" w:rsidRDefault="00605ABB" w:rsidP="00EE0EE5">
            <w:pPr>
              <w:jc w:val="center"/>
              <w:rPr>
                <w:bCs/>
                <w:sz w:val="20"/>
                <w:szCs w:val="20"/>
              </w:rPr>
            </w:pPr>
            <w:r>
              <w:rPr>
                <w:bCs/>
                <w:sz w:val="20"/>
                <w:szCs w:val="20"/>
              </w:rPr>
              <w:t>25,6</w:t>
            </w:r>
          </w:p>
        </w:tc>
        <w:tc>
          <w:tcPr>
            <w:tcW w:w="1134" w:type="dxa"/>
            <w:vAlign w:val="center"/>
          </w:tcPr>
          <w:p w:rsidR="00EE0EE5" w:rsidRPr="00735EC6" w:rsidRDefault="00605ABB" w:rsidP="00EE0EE5">
            <w:pPr>
              <w:jc w:val="center"/>
              <w:rPr>
                <w:bCs/>
                <w:sz w:val="20"/>
                <w:szCs w:val="20"/>
              </w:rPr>
            </w:pPr>
            <w:r>
              <w:rPr>
                <w:bCs/>
                <w:sz w:val="20"/>
                <w:szCs w:val="20"/>
              </w:rPr>
              <w:t>103</w:t>
            </w:r>
          </w:p>
        </w:tc>
        <w:tc>
          <w:tcPr>
            <w:tcW w:w="1099" w:type="dxa"/>
            <w:vAlign w:val="center"/>
          </w:tcPr>
          <w:p w:rsidR="00EE0EE5" w:rsidRPr="00735EC6" w:rsidRDefault="00605ABB" w:rsidP="00EE0EE5">
            <w:pPr>
              <w:jc w:val="center"/>
              <w:rPr>
                <w:bCs/>
                <w:sz w:val="20"/>
                <w:szCs w:val="20"/>
              </w:rPr>
            </w:pPr>
            <w:r>
              <w:rPr>
                <w:bCs/>
                <w:sz w:val="20"/>
                <w:szCs w:val="20"/>
              </w:rPr>
              <w:t>103,5</w:t>
            </w:r>
          </w:p>
        </w:tc>
      </w:tr>
      <w:tr w:rsidR="00EE0EE5" w:rsidRPr="006D09CC" w:rsidTr="00414753">
        <w:trPr>
          <w:trHeight w:val="300"/>
          <w:jc w:val="center"/>
        </w:trPr>
        <w:tc>
          <w:tcPr>
            <w:tcW w:w="2410" w:type="dxa"/>
          </w:tcPr>
          <w:p w:rsidR="00EE0EE5" w:rsidRPr="00883B52" w:rsidRDefault="00EE0EE5" w:rsidP="00EE0EE5">
            <w:pPr>
              <w:rPr>
                <w:sz w:val="16"/>
                <w:szCs w:val="16"/>
              </w:rPr>
            </w:pPr>
            <w:r>
              <w:rPr>
                <w:sz w:val="16"/>
                <w:szCs w:val="16"/>
              </w:rPr>
              <w:t>Другие вопросы в области национальной экономики (0412)</w:t>
            </w:r>
          </w:p>
        </w:tc>
        <w:tc>
          <w:tcPr>
            <w:tcW w:w="992" w:type="dxa"/>
            <w:vAlign w:val="center"/>
          </w:tcPr>
          <w:p w:rsidR="00EE0EE5" w:rsidRPr="00735EC6" w:rsidRDefault="006F20D9" w:rsidP="00EE0EE5">
            <w:pPr>
              <w:jc w:val="center"/>
              <w:rPr>
                <w:bCs/>
                <w:sz w:val="20"/>
                <w:szCs w:val="20"/>
              </w:rPr>
            </w:pPr>
            <w:r>
              <w:rPr>
                <w:bCs/>
                <w:sz w:val="20"/>
                <w:szCs w:val="20"/>
              </w:rPr>
              <w:t>8</w:t>
            </w:r>
          </w:p>
        </w:tc>
        <w:tc>
          <w:tcPr>
            <w:tcW w:w="993" w:type="dxa"/>
            <w:vAlign w:val="center"/>
          </w:tcPr>
          <w:p w:rsidR="00EE0EE5" w:rsidRPr="00735EC6" w:rsidRDefault="00D3437D" w:rsidP="00EE0EE5">
            <w:pPr>
              <w:jc w:val="center"/>
              <w:rPr>
                <w:bCs/>
                <w:sz w:val="20"/>
                <w:szCs w:val="20"/>
              </w:rPr>
            </w:pPr>
            <w:r>
              <w:rPr>
                <w:bCs/>
                <w:sz w:val="20"/>
                <w:szCs w:val="20"/>
              </w:rPr>
              <w:t>0,0</w:t>
            </w:r>
          </w:p>
        </w:tc>
        <w:tc>
          <w:tcPr>
            <w:tcW w:w="992" w:type="dxa"/>
            <w:vAlign w:val="center"/>
          </w:tcPr>
          <w:p w:rsidR="00EE0EE5" w:rsidRPr="00735EC6" w:rsidRDefault="00D3437D" w:rsidP="00EE0EE5">
            <w:pPr>
              <w:jc w:val="center"/>
              <w:rPr>
                <w:bCs/>
                <w:sz w:val="20"/>
                <w:szCs w:val="20"/>
              </w:rPr>
            </w:pPr>
            <w:r>
              <w:rPr>
                <w:bCs/>
                <w:sz w:val="20"/>
                <w:szCs w:val="20"/>
              </w:rPr>
              <w:t>0,0</w:t>
            </w:r>
          </w:p>
        </w:tc>
        <w:tc>
          <w:tcPr>
            <w:tcW w:w="992" w:type="dxa"/>
            <w:vAlign w:val="center"/>
          </w:tcPr>
          <w:p w:rsidR="00EE0EE5" w:rsidRPr="00735EC6" w:rsidRDefault="00D3437D" w:rsidP="00EE0EE5">
            <w:pPr>
              <w:jc w:val="center"/>
              <w:rPr>
                <w:bCs/>
                <w:sz w:val="20"/>
                <w:szCs w:val="20"/>
              </w:rPr>
            </w:pPr>
            <w:r>
              <w:rPr>
                <w:bCs/>
                <w:sz w:val="20"/>
                <w:szCs w:val="20"/>
              </w:rPr>
              <w:t>0,0</w:t>
            </w:r>
          </w:p>
        </w:tc>
        <w:tc>
          <w:tcPr>
            <w:tcW w:w="1134" w:type="dxa"/>
            <w:vAlign w:val="center"/>
          </w:tcPr>
          <w:p w:rsidR="00EE0EE5" w:rsidRPr="00735EC6" w:rsidRDefault="00605ABB" w:rsidP="00EE0EE5">
            <w:pPr>
              <w:jc w:val="center"/>
              <w:rPr>
                <w:bCs/>
                <w:sz w:val="20"/>
                <w:szCs w:val="20"/>
              </w:rPr>
            </w:pPr>
            <w:r>
              <w:rPr>
                <w:bCs/>
                <w:sz w:val="20"/>
                <w:szCs w:val="20"/>
              </w:rPr>
              <w:t>-</w:t>
            </w:r>
          </w:p>
        </w:tc>
        <w:tc>
          <w:tcPr>
            <w:tcW w:w="1134" w:type="dxa"/>
            <w:vAlign w:val="center"/>
          </w:tcPr>
          <w:p w:rsidR="00EE0EE5" w:rsidRPr="00735EC6" w:rsidRDefault="00605ABB" w:rsidP="00EE0EE5">
            <w:pPr>
              <w:jc w:val="center"/>
              <w:rPr>
                <w:bCs/>
                <w:sz w:val="20"/>
                <w:szCs w:val="20"/>
              </w:rPr>
            </w:pPr>
            <w:r>
              <w:rPr>
                <w:bCs/>
                <w:sz w:val="20"/>
                <w:szCs w:val="20"/>
              </w:rPr>
              <w:t>-</w:t>
            </w:r>
          </w:p>
        </w:tc>
        <w:tc>
          <w:tcPr>
            <w:tcW w:w="1099" w:type="dxa"/>
            <w:vAlign w:val="center"/>
          </w:tcPr>
          <w:p w:rsidR="00EE0EE5" w:rsidRPr="00735EC6" w:rsidRDefault="00605ABB" w:rsidP="00EE0EE5">
            <w:pPr>
              <w:jc w:val="center"/>
              <w:rPr>
                <w:bCs/>
                <w:sz w:val="20"/>
                <w:szCs w:val="20"/>
              </w:rPr>
            </w:pPr>
            <w:r>
              <w:rPr>
                <w:bCs/>
                <w:sz w:val="20"/>
                <w:szCs w:val="20"/>
              </w:rPr>
              <w:t>-</w:t>
            </w:r>
          </w:p>
        </w:tc>
      </w:tr>
      <w:tr w:rsidR="00EE0EE5" w:rsidRPr="006D09CC" w:rsidTr="00414753">
        <w:trPr>
          <w:trHeight w:val="300"/>
          <w:jc w:val="center"/>
        </w:trPr>
        <w:tc>
          <w:tcPr>
            <w:tcW w:w="2410" w:type="dxa"/>
          </w:tcPr>
          <w:p w:rsidR="00EE0EE5" w:rsidRPr="00DB5C6B" w:rsidRDefault="00EE0EE5" w:rsidP="006F20D9">
            <w:pPr>
              <w:rPr>
                <w:b/>
                <w:sz w:val="16"/>
                <w:szCs w:val="16"/>
              </w:rPr>
            </w:pPr>
            <w:r w:rsidRPr="00DB5C6B">
              <w:rPr>
                <w:b/>
                <w:sz w:val="16"/>
                <w:szCs w:val="16"/>
              </w:rPr>
              <w:t>Жилищно-коммунальное хозяйство</w:t>
            </w:r>
            <w:r w:rsidRPr="00883B52">
              <w:rPr>
                <w:sz w:val="16"/>
                <w:szCs w:val="16"/>
              </w:rPr>
              <w:t xml:space="preserve"> </w:t>
            </w:r>
          </w:p>
        </w:tc>
        <w:tc>
          <w:tcPr>
            <w:tcW w:w="992" w:type="dxa"/>
            <w:vAlign w:val="center"/>
          </w:tcPr>
          <w:p w:rsidR="00EE0EE5" w:rsidRPr="006D09CC" w:rsidRDefault="006F20D9" w:rsidP="00EE0EE5">
            <w:pPr>
              <w:jc w:val="center"/>
              <w:rPr>
                <w:b/>
                <w:bCs/>
                <w:sz w:val="20"/>
                <w:szCs w:val="20"/>
              </w:rPr>
            </w:pPr>
            <w:r>
              <w:rPr>
                <w:b/>
                <w:bCs/>
                <w:sz w:val="20"/>
                <w:szCs w:val="20"/>
              </w:rPr>
              <w:t>138,5</w:t>
            </w:r>
          </w:p>
        </w:tc>
        <w:tc>
          <w:tcPr>
            <w:tcW w:w="993" w:type="dxa"/>
            <w:vAlign w:val="center"/>
          </w:tcPr>
          <w:p w:rsidR="00EE0EE5" w:rsidRPr="006D09CC" w:rsidRDefault="00D3437D" w:rsidP="00EE0EE5">
            <w:pPr>
              <w:jc w:val="center"/>
              <w:rPr>
                <w:b/>
                <w:bCs/>
                <w:sz w:val="20"/>
                <w:szCs w:val="20"/>
              </w:rPr>
            </w:pPr>
            <w:r>
              <w:rPr>
                <w:b/>
                <w:bCs/>
                <w:sz w:val="20"/>
                <w:szCs w:val="20"/>
              </w:rPr>
              <w:t>371,2</w:t>
            </w:r>
          </w:p>
        </w:tc>
        <w:tc>
          <w:tcPr>
            <w:tcW w:w="992" w:type="dxa"/>
            <w:vAlign w:val="center"/>
          </w:tcPr>
          <w:p w:rsidR="00EE0EE5" w:rsidRPr="006D09CC" w:rsidRDefault="00D3437D" w:rsidP="00EE0EE5">
            <w:pPr>
              <w:jc w:val="center"/>
              <w:rPr>
                <w:b/>
                <w:bCs/>
                <w:sz w:val="20"/>
                <w:szCs w:val="20"/>
              </w:rPr>
            </w:pPr>
            <w:r>
              <w:rPr>
                <w:b/>
                <w:bCs/>
                <w:sz w:val="20"/>
                <w:szCs w:val="20"/>
              </w:rPr>
              <w:t>363,2</w:t>
            </w:r>
          </w:p>
        </w:tc>
        <w:tc>
          <w:tcPr>
            <w:tcW w:w="992" w:type="dxa"/>
            <w:vAlign w:val="center"/>
          </w:tcPr>
          <w:p w:rsidR="00EE0EE5" w:rsidRPr="006D09CC" w:rsidRDefault="00D3437D" w:rsidP="00EE0EE5">
            <w:pPr>
              <w:jc w:val="center"/>
              <w:rPr>
                <w:b/>
                <w:bCs/>
                <w:sz w:val="20"/>
                <w:szCs w:val="20"/>
              </w:rPr>
            </w:pPr>
            <w:r>
              <w:rPr>
                <w:b/>
                <w:bCs/>
                <w:sz w:val="20"/>
                <w:szCs w:val="20"/>
              </w:rPr>
              <w:t>348,2</w:t>
            </w:r>
          </w:p>
        </w:tc>
        <w:tc>
          <w:tcPr>
            <w:tcW w:w="1134" w:type="dxa"/>
            <w:vAlign w:val="center"/>
          </w:tcPr>
          <w:p w:rsidR="00EE0EE5" w:rsidRPr="006D09CC" w:rsidRDefault="00605ABB" w:rsidP="00EE0EE5">
            <w:pPr>
              <w:jc w:val="center"/>
              <w:rPr>
                <w:b/>
                <w:bCs/>
                <w:sz w:val="20"/>
                <w:szCs w:val="20"/>
              </w:rPr>
            </w:pPr>
            <w:r>
              <w:rPr>
                <w:b/>
                <w:bCs/>
                <w:sz w:val="20"/>
                <w:szCs w:val="20"/>
              </w:rPr>
              <w:t>268</w:t>
            </w:r>
          </w:p>
        </w:tc>
        <w:tc>
          <w:tcPr>
            <w:tcW w:w="1134" w:type="dxa"/>
            <w:vAlign w:val="center"/>
          </w:tcPr>
          <w:p w:rsidR="00EE0EE5" w:rsidRPr="006D09CC" w:rsidRDefault="00605ABB" w:rsidP="00EE0EE5">
            <w:pPr>
              <w:jc w:val="center"/>
              <w:rPr>
                <w:b/>
                <w:bCs/>
                <w:sz w:val="20"/>
                <w:szCs w:val="20"/>
              </w:rPr>
            </w:pPr>
            <w:r>
              <w:rPr>
                <w:b/>
                <w:bCs/>
                <w:sz w:val="20"/>
                <w:szCs w:val="20"/>
              </w:rPr>
              <w:t>97,8</w:t>
            </w:r>
          </w:p>
        </w:tc>
        <w:tc>
          <w:tcPr>
            <w:tcW w:w="1099" w:type="dxa"/>
            <w:vAlign w:val="center"/>
          </w:tcPr>
          <w:p w:rsidR="00EE0EE5" w:rsidRPr="006D09CC" w:rsidRDefault="00605ABB" w:rsidP="00EE0EE5">
            <w:pPr>
              <w:jc w:val="center"/>
              <w:rPr>
                <w:b/>
                <w:bCs/>
                <w:sz w:val="20"/>
                <w:szCs w:val="20"/>
              </w:rPr>
            </w:pPr>
            <w:r>
              <w:rPr>
                <w:b/>
                <w:bCs/>
                <w:sz w:val="20"/>
                <w:szCs w:val="20"/>
              </w:rPr>
              <w:t>95,9</w:t>
            </w:r>
          </w:p>
        </w:tc>
      </w:tr>
      <w:tr w:rsidR="006F20D9" w:rsidRPr="006D09CC" w:rsidTr="000F3835">
        <w:trPr>
          <w:trHeight w:val="181"/>
          <w:jc w:val="center"/>
        </w:trPr>
        <w:tc>
          <w:tcPr>
            <w:tcW w:w="2410" w:type="dxa"/>
          </w:tcPr>
          <w:p w:rsidR="006F20D9" w:rsidRPr="006F20D9" w:rsidRDefault="000F3835" w:rsidP="00EE0EE5">
            <w:pPr>
              <w:rPr>
                <w:sz w:val="16"/>
                <w:szCs w:val="16"/>
              </w:rPr>
            </w:pPr>
            <w:r>
              <w:rPr>
                <w:sz w:val="16"/>
                <w:szCs w:val="16"/>
              </w:rPr>
              <w:t>Жилищное</w:t>
            </w:r>
            <w:r w:rsidR="006F20D9" w:rsidRPr="006F20D9">
              <w:rPr>
                <w:sz w:val="16"/>
                <w:szCs w:val="16"/>
              </w:rPr>
              <w:t xml:space="preserve"> хозяйство (0501)</w:t>
            </w:r>
          </w:p>
        </w:tc>
        <w:tc>
          <w:tcPr>
            <w:tcW w:w="992" w:type="dxa"/>
            <w:vAlign w:val="center"/>
          </w:tcPr>
          <w:p w:rsidR="006F20D9" w:rsidRPr="006F20D9" w:rsidRDefault="006F20D9" w:rsidP="00EE0EE5">
            <w:pPr>
              <w:jc w:val="center"/>
              <w:rPr>
                <w:bCs/>
                <w:sz w:val="20"/>
                <w:szCs w:val="20"/>
              </w:rPr>
            </w:pPr>
            <w:r>
              <w:rPr>
                <w:bCs/>
                <w:sz w:val="20"/>
                <w:szCs w:val="20"/>
              </w:rPr>
              <w:t>8</w:t>
            </w:r>
          </w:p>
        </w:tc>
        <w:tc>
          <w:tcPr>
            <w:tcW w:w="993" w:type="dxa"/>
            <w:vAlign w:val="center"/>
          </w:tcPr>
          <w:p w:rsidR="006F20D9" w:rsidRPr="006F20D9" w:rsidRDefault="00D3437D" w:rsidP="00EE0EE5">
            <w:pPr>
              <w:jc w:val="center"/>
              <w:rPr>
                <w:bCs/>
                <w:sz w:val="20"/>
                <w:szCs w:val="20"/>
              </w:rPr>
            </w:pPr>
            <w:r>
              <w:rPr>
                <w:bCs/>
                <w:sz w:val="20"/>
                <w:szCs w:val="20"/>
              </w:rPr>
              <w:t>0,0</w:t>
            </w:r>
          </w:p>
        </w:tc>
        <w:tc>
          <w:tcPr>
            <w:tcW w:w="992" w:type="dxa"/>
            <w:vAlign w:val="center"/>
          </w:tcPr>
          <w:p w:rsidR="006F20D9" w:rsidRPr="006F20D9" w:rsidRDefault="00D3437D" w:rsidP="00EE0EE5">
            <w:pPr>
              <w:jc w:val="center"/>
              <w:rPr>
                <w:bCs/>
                <w:sz w:val="20"/>
                <w:szCs w:val="20"/>
              </w:rPr>
            </w:pPr>
            <w:r>
              <w:rPr>
                <w:bCs/>
                <w:sz w:val="20"/>
                <w:szCs w:val="20"/>
              </w:rPr>
              <w:t>0,0</w:t>
            </w:r>
          </w:p>
        </w:tc>
        <w:tc>
          <w:tcPr>
            <w:tcW w:w="992" w:type="dxa"/>
            <w:vAlign w:val="center"/>
          </w:tcPr>
          <w:p w:rsidR="006F20D9" w:rsidRPr="006F20D9" w:rsidRDefault="00D3437D" w:rsidP="00EE0EE5">
            <w:pPr>
              <w:jc w:val="center"/>
              <w:rPr>
                <w:bCs/>
                <w:sz w:val="20"/>
                <w:szCs w:val="20"/>
              </w:rPr>
            </w:pPr>
            <w:r>
              <w:rPr>
                <w:bCs/>
                <w:sz w:val="20"/>
                <w:szCs w:val="20"/>
              </w:rPr>
              <w:t>0,0</w:t>
            </w:r>
          </w:p>
        </w:tc>
        <w:tc>
          <w:tcPr>
            <w:tcW w:w="1134" w:type="dxa"/>
            <w:vAlign w:val="center"/>
          </w:tcPr>
          <w:p w:rsidR="006F20D9" w:rsidRPr="006F20D9" w:rsidRDefault="00605ABB" w:rsidP="00EE0EE5">
            <w:pPr>
              <w:jc w:val="center"/>
              <w:rPr>
                <w:bCs/>
                <w:sz w:val="20"/>
                <w:szCs w:val="20"/>
              </w:rPr>
            </w:pPr>
            <w:r>
              <w:rPr>
                <w:bCs/>
                <w:sz w:val="20"/>
                <w:szCs w:val="20"/>
              </w:rPr>
              <w:t>-</w:t>
            </w:r>
          </w:p>
        </w:tc>
        <w:tc>
          <w:tcPr>
            <w:tcW w:w="1134" w:type="dxa"/>
            <w:vAlign w:val="center"/>
          </w:tcPr>
          <w:p w:rsidR="006F20D9" w:rsidRPr="006F20D9" w:rsidRDefault="00605ABB" w:rsidP="00EE0EE5">
            <w:pPr>
              <w:jc w:val="center"/>
              <w:rPr>
                <w:bCs/>
                <w:sz w:val="20"/>
                <w:szCs w:val="20"/>
              </w:rPr>
            </w:pPr>
            <w:r>
              <w:rPr>
                <w:bCs/>
                <w:sz w:val="20"/>
                <w:szCs w:val="20"/>
              </w:rPr>
              <w:t>-</w:t>
            </w:r>
          </w:p>
        </w:tc>
        <w:tc>
          <w:tcPr>
            <w:tcW w:w="1099" w:type="dxa"/>
            <w:vAlign w:val="center"/>
          </w:tcPr>
          <w:p w:rsidR="006F20D9" w:rsidRPr="006F20D9" w:rsidRDefault="00605ABB" w:rsidP="00EE0EE5">
            <w:pPr>
              <w:jc w:val="center"/>
              <w:rPr>
                <w:bCs/>
                <w:sz w:val="20"/>
                <w:szCs w:val="20"/>
              </w:rPr>
            </w:pPr>
            <w:r>
              <w:rPr>
                <w:bCs/>
                <w:sz w:val="20"/>
                <w:szCs w:val="20"/>
              </w:rPr>
              <w:t>-</w:t>
            </w:r>
          </w:p>
        </w:tc>
      </w:tr>
      <w:tr w:rsidR="006F20D9" w:rsidRPr="006D09CC" w:rsidTr="000F3835">
        <w:trPr>
          <w:trHeight w:val="143"/>
          <w:jc w:val="center"/>
        </w:trPr>
        <w:tc>
          <w:tcPr>
            <w:tcW w:w="2410" w:type="dxa"/>
          </w:tcPr>
          <w:p w:rsidR="006F20D9" w:rsidRPr="00883B52" w:rsidRDefault="006F20D9" w:rsidP="00EE0EE5">
            <w:pPr>
              <w:rPr>
                <w:sz w:val="16"/>
                <w:szCs w:val="16"/>
              </w:rPr>
            </w:pPr>
            <w:r w:rsidRPr="00883B52">
              <w:rPr>
                <w:sz w:val="16"/>
                <w:szCs w:val="16"/>
              </w:rPr>
              <w:t>Благоустройство (0503)</w:t>
            </w:r>
          </w:p>
        </w:tc>
        <w:tc>
          <w:tcPr>
            <w:tcW w:w="992" w:type="dxa"/>
            <w:vAlign w:val="center"/>
          </w:tcPr>
          <w:p w:rsidR="006F20D9" w:rsidRPr="006F20D9" w:rsidRDefault="006F20D9" w:rsidP="00EE0EE5">
            <w:pPr>
              <w:jc w:val="center"/>
              <w:rPr>
                <w:bCs/>
                <w:sz w:val="20"/>
                <w:szCs w:val="20"/>
              </w:rPr>
            </w:pPr>
            <w:r w:rsidRPr="006F20D9">
              <w:rPr>
                <w:bCs/>
                <w:sz w:val="20"/>
                <w:szCs w:val="20"/>
              </w:rPr>
              <w:t>130,5</w:t>
            </w:r>
          </w:p>
        </w:tc>
        <w:tc>
          <w:tcPr>
            <w:tcW w:w="993" w:type="dxa"/>
            <w:vAlign w:val="center"/>
          </w:tcPr>
          <w:p w:rsidR="006F20D9" w:rsidRPr="006F20D9" w:rsidRDefault="00D3437D" w:rsidP="00EE0EE5">
            <w:pPr>
              <w:jc w:val="center"/>
              <w:rPr>
                <w:bCs/>
                <w:sz w:val="20"/>
                <w:szCs w:val="20"/>
              </w:rPr>
            </w:pPr>
            <w:r>
              <w:rPr>
                <w:bCs/>
                <w:sz w:val="20"/>
                <w:szCs w:val="20"/>
              </w:rPr>
              <w:t>371,2</w:t>
            </w:r>
          </w:p>
        </w:tc>
        <w:tc>
          <w:tcPr>
            <w:tcW w:w="992" w:type="dxa"/>
            <w:vAlign w:val="center"/>
          </w:tcPr>
          <w:p w:rsidR="006F20D9" w:rsidRPr="006F20D9" w:rsidRDefault="00D3437D" w:rsidP="00EE0EE5">
            <w:pPr>
              <w:jc w:val="center"/>
              <w:rPr>
                <w:bCs/>
                <w:sz w:val="20"/>
                <w:szCs w:val="20"/>
              </w:rPr>
            </w:pPr>
            <w:r>
              <w:rPr>
                <w:bCs/>
                <w:sz w:val="20"/>
                <w:szCs w:val="20"/>
              </w:rPr>
              <w:t>363,2</w:t>
            </w:r>
          </w:p>
        </w:tc>
        <w:tc>
          <w:tcPr>
            <w:tcW w:w="992" w:type="dxa"/>
            <w:vAlign w:val="center"/>
          </w:tcPr>
          <w:p w:rsidR="006F20D9" w:rsidRPr="006F20D9" w:rsidRDefault="00D3437D" w:rsidP="00EE0EE5">
            <w:pPr>
              <w:jc w:val="center"/>
              <w:rPr>
                <w:bCs/>
                <w:sz w:val="20"/>
                <w:szCs w:val="20"/>
              </w:rPr>
            </w:pPr>
            <w:r>
              <w:rPr>
                <w:bCs/>
                <w:sz w:val="20"/>
                <w:szCs w:val="20"/>
              </w:rPr>
              <w:t>348,2</w:t>
            </w:r>
          </w:p>
        </w:tc>
        <w:tc>
          <w:tcPr>
            <w:tcW w:w="1134" w:type="dxa"/>
            <w:vAlign w:val="center"/>
          </w:tcPr>
          <w:p w:rsidR="006F20D9" w:rsidRPr="006F20D9" w:rsidRDefault="00605ABB" w:rsidP="00EE0EE5">
            <w:pPr>
              <w:jc w:val="center"/>
              <w:rPr>
                <w:bCs/>
                <w:sz w:val="20"/>
                <w:szCs w:val="20"/>
              </w:rPr>
            </w:pPr>
            <w:r>
              <w:rPr>
                <w:bCs/>
                <w:sz w:val="20"/>
                <w:szCs w:val="20"/>
              </w:rPr>
              <w:t>284,4</w:t>
            </w:r>
          </w:p>
        </w:tc>
        <w:tc>
          <w:tcPr>
            <w:tcW w:w="1134" w:type="dxa"/>
            <w:vAlign w:val="center"/>
          </w:tcPr>
          <w:p w:rsidR="006F20D9" w:rsidRPr="006F20D9" w:rsidRDefault="00605ABB" w:rsidP="00EE0EE5">
            <w:pPr>
              <w:jc w:val="center"/>
              <w:rPr>
                <w:bCs/>
                <w:sz w:val="20"/>
                <w:szCs w:val="20"/>
              </w:rPr>
            </w:pPr>
            <w:r>
              <w:rPr>
                <w:bCs/>
                <w:sz w:val="20"/>
                <w:szCs w:val="20"/>
              </w:rPr>
              <w:t>97,8</w:t>
            </w:r>
          </w:p>
        </w:tc>
        <w:tc>
          <w:tcPr>
            <w:tcW w:w="1099" w:type="dxa"/>
            <w:vAlign w:val="center"/>
          </w:tcPr>
          <w:p w:rsidR="006F20D9" w:rsidRPr="006F20D9" w:rsidRDefault="00605ABB" w:rsidP="00EE0EE5">
            <w:pPr>
              <w:jc w:val="center"/>
              <w:rPr>
                <w:bCs/>
                <w:sz w:val="20"/>
                <w:szCs w:val="20"/>
              </w:rPr>
            </w:pPr>
            <w:r>
              <w:rPr>
                <w:bCs/>
                <w:sz w:val="20"/>
                <w:szCs w:val="20"/>
              </w:rPr>
              <w:t>95,9</w:t>
            </w:r>
          </w:p>
        </w:tc>
      </w:tr>
      <w:tr w:rsidR="00EE0EE5" w:rsidRPr="006D09CC" w:rsidTr="00414753">
        <w:trPr>
          <w:trHeight w:val="300"/>
          <w:jc w:val="center"/>
        </w:trPr>
        <w:tc>
          <w:tcPr>
            <w:tcW w:w="2410" w:type="dxa"/>
          </w:tcPr>
          <w:p w:rsidR="00EE0EE5" w:rsidRPr="00DB5C6B" w:rsidRDefault="00EE0EE5" w:rsidP="00EE0EE5">
            <w:pPr>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EE0EE5" w:rsidRPr="006D09CC" w:rsidRDefault="006F20D9" w:rsidP="00EE0EE5">
            <w:pPr>
              <w:jc w:val="center"/>
              <w:rPr>
                <w:b/>
                <w:bCs/>
                <w:sz w:val="20"/>
                <w:szCs w:val="20"/>
              </w:rPr>
            </w:pPr>
            <w:r>
              <w:rPr>
                <w:b/>
                <w:bCs/>
                <w:sz w:val="20"/>
                <w:szCs w:val="20"/>
              </w:rPr>
              <w:t>2249,4</w:t>
            </w:r>
          </w:p>
        </w:tc>
        <w:tc>
          <w:tcPr>
            <w:tcW w:w="993" w:type="dxa"/>
            <w:vAlign w:val="center"/>
          </w:tcPr>
          <w:p w:rsidR="00EE0EE5" w:rsidRPr="006D09CC" w:rsidRDefault="00D3437D" w:rsidP="00EE0EE5">
            <w:pPr>
              <w:jc w:val="center"/>
              <w:rPr>
                <w:b/>
                <w:bCs/>
                <w:sz w:val="20"/>
                <w:szCs w:val="20"/>
              </w:rPr>
            </w:pPr>
            <w:r>
              <w:rPr>
                <w:b/>
                <w:bCs/>
                <w:sz w:val="20"/>
                <w:szCs w:val="20"/>
              </w:rPr>
              <w:t>1140</w:t>
            </w:r>
          </w:p>
        </w:tc>
        <w:tc>
          <w:tcPr>
            <w:tcW w:w="992" w:type="dxa"/>
            <w:vAlign w:val="center"/>
          </w:tcPr>
          <w:p w:rsidR="00EE0EE5" w:rsidRPr="006D09CC" w:rsidRDefault="00605ABB" w:rsidP="00EE0EE5">
            <w:pPr>
              <w:jc w:val="center"/>
              <w:rPr>
                <w:b/>
                <w:bCs/>
                <w:sz w:val="20"/>
                <w:szCs w:val="20"/>
              </w:rPr>
            </w:pPr>
            <w:r>
              <w:rPr>
                <w:b/>
                <w:bCs/>
                <w:sz w:val="20"/>
                <w:szCs w:val="20"/>
              </w:rPr>
              <w:t>1</w:t>
            </w:r>
            <w:r w:rsidR="00D3437D">
              <w:rPr>
                <w:b/>
                <w:bCs/>
                <w:sz w:val="20"/>
                <w:szCs w:val="20"/>
              </w:rPr>
              <w:t>149,5</w:t>
            </w:r>
          </w:p>
        </w:tc>
        <w:tc>
          <w:tcPr>
            <w:tcW w:w="992" w:type="dxa"/>
            <w:vAlign w:val="center"/>
          </w:tcPr>
          <w:p w:rsidR="00EE0EE5" w:rsidRPr="006D09CC" w:rsidRDefault="00D3437D" w:rsidP="00EE0EE5">
            <w:pPr>
              <w:jc w:val="center"/>
              <w:rPr>
                <w:b/>
                <w:bCs/>
                <w:sz w:val="20"/>
                <w:szCs w:val="20"/>
              </w:rPr>
            </w:pPr>
            <w:r>
              <w:rPr>
                <w:b/>
                <w:bCs/>
                <w:sz w:val="20"/>
                <w:szCs w:val="20"/>
              </w:rPr>
              <w:t>1134,9</w:t>
            </w:r>
          </w:p>
        </w:tc>
        <w:tc>
          <w:tcPr>
            <w:tcW w:w="1134" w:type="dxa"/>
            <w:vAlign w:val="center"/>
          </w:tcPr>
          <w:p w:rsidR="00EE0EE5" w:rsidRPr="006D09CC" w:rsidRDefault="00605ABB" w:rsidP="00EE0EE5">
            <w:pPr>
              <w:jc w:val="center"/>
              <w:rPr>
                <w:b/>
                <w:bCs/>
                <w:sz w:val="20"/>
                <w:szCs w:val="20"/>
              </w:rPr>
            </w:pPr>
            <w:r>
              <w:rPr>
                <w:b/>
                <w:bCs/>
                <w:sz w:val="20"/>
                <w:szCs w:val="20"/>
              </w:rPr>
              <w:t>50,7</w:t>
            </w:r>
          </w:p>
        </w:tc>
        <w:tc>
          <w:tcPr>
            <w:tcW w:w="1134" w:type="dxa"/>
            <w:vAlign w:val="center"/>
          </w:tcPr>
          <w:p w:rsidR="00EE0EE5" w:rsidRPr="006D09CC" w:rsidRDefault="00605ABB" w:rsidP="00EE0EE5">
            <w:pPr>
              <w:jc w:val="center"/>
              <w:rPr>
                <w:b/>
                <w:bCs/>
                <w:sz w:val="20"/>
                <w:szCs w:val="20"/>
              </w:rPr>
            </w:pPr>
            <w:r>
              <w:rPr>
                <w:b/>
                <w:bCs/>
                <w:sz w:val="20"/>
                <w:szCs w:val="20"/>
              </w:rPr>
              <w:t>100,8</w:t>
            </w:r>
          </w:p>
        </w:tc>
        <w:tc>
          <w:tcPr>
            <w:tcW w:w="1099" w:type="dxa"/>
            <w:vAlign w:val="center"/>
          </w:tcPr>
          <w:p w:rsidR="00EE0EE5" w:rsidRPr="006D09CC" w:rsidRDefault="00605ABB" w:rsidP="00EE0EE5">
            <w:pPr>
              <w:jc w:val="center"/>
              <w:rPr>
                <w:b/>
                <w:bCs/>
                <w:sz w:val="20"/>
                <w:szCs w:val="20"/>
              </w:rPr>
            </w:pPr>
            <w:r>
              <w:rPr>
                <w:b/>
                <w:bCs/>
                <w:sz w:val="20"/>
                <w:szCs w:val="20"/>
              </w:rPr>
              <w:t>98,7</w:t>
            </w:r>
          </w:p>
        </w:tc>
      </w:tr>
      <w:tr w:rsidR="00EE0EE5" w:rsidRPr="006D09CC" w:rsidTr="00414753">
        <w:trPr>
          <w:trHeight w:val="300"/>
          <w:jc w:val="center"/>
        </w:trPr>
        <w:tc>
          <w:tcPr>
            <w:tcW w:w="2410" w:type="dxa"/>
          </w:tcPr>
          <w:p w:rsidR="00EE0EE5" w:rsidRPr="00BC5359" w:rsidRDefault="00EE0EE5" w:rsidP="00EE0EE5">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993" w:type="dxa"/>
            <w:vAlign w:val="center"/>
          </w:tcPr>
          <w:p w:rsidR="00EE0EE5" w:rsidRPr="006D09CC" w:rsidRDefault="00EE0EE5" w:rsidP="00EE0EE5">
            <w:pPr>
              <w:jc w:val="center"/>
              <w:rPr>
                <w:b/>
                <w:bCs/>
                <w:sz w:val="20"/>
                <w:szCs w:val="20"/>
              </w:rPr>
            </w:pPr>
            <w:r>
              <w:rPr>
                <w:b/>
                <w:bCs/>
                <w:sz w:val="20"/>
                <w:szCs w:val="20"/>
              </w:rPr>
              <w:t>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1134" w:type="dxa"/>
            <w:vAlign w:val="center"/>
          </w:tcPr>
          <w:p w:rsidR="00EE0EE5" w:rsidRPr="006D09CC" w:rsidRDefault="00EF2414" w:rsidP="00605ABB">
            <w:pPr>
              <w:jc w:val="center"/>
              <w:rPr>
                <w:b/>
                <w:bCs/>
                <w:sz w:val="20"/>
                <w:szCs w:val="20"/>
              </w:rPr>
            </w:pPr>
            <w:r>
              <w:rPr>
                <w:b/>
                <w:bCs/>
                <w:sz w:val="20"/>
                <w:szCs w:val="20"/>
              </w:rPr>
              <w:t>100</w:t>
            </w:r>
          </w:p>
        </w:tc>
        <w:tc>
          <w:tcPr>
            <w:tcW w:w="1134" w:type="dxa"/>
            <w:vAlign w:val="center"/>
          </w:tcPr>
          <w:p w:rsidR="00EE0EE5" w:rsidRPr="006D09CC" w:rsidRDefault="00EF2414" w:rsidP="00EE0EE5">
            <w:pPr>
              <w:jc w:val="center"/>
              <w:rPr>
                <w:b/>
                <w:bCs/>
                <w:sz w:val="20"/>
                <w:szCs w:val="20"/>
              </w:rPr>
            </w:pPr>
            <w:r>
              <w:rPr>
                <w:b/>
                <w:bCs/>
                <w:sz w:val="20"/>
                <w:szCs w:val="20"/>
              </w:rPr>
              <w:t>100</w:t>
            </w:r>
          </w:p>
        </w:tc>
        <w:tc>
          <w:tcPr>
            <w:tcW w:w="1099" w:type="dxa"/>
            <w:vAlign w:val="center"/>
          </w:tcPr>
          <w:p w:rsidR="00EE0EE5" w:rsidRPr="006D09CC" w:rsidRDefault="00EF2414" w:rsidP="00EE0EE5">
            <w:pPr>
              <w:jc w:val="center"/>
              <w:rPr>
                <w:b/>
                <w:bCs/>
                <w:sz w:val="20"/>
                <w:szCs w:val="20"/>
              </w:rPr>
            </w:pPr>
            <w:r>
              <w:rPr>
                <w:b/>
                <w:bCs/>
                <w:sz w:val="20"/>
                <w:szCs w:val="20"/>
              </w:rPr>
              <w:t>100</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EE0EE5" w:rsidRPr="006D09CC" w:rsidRDefault="00EE0EE5" w:rsidP="00EE0EE5">
            <w:pPr>
              <w:jc w:val="center"/>
              <w:rPr>
                <w:b/>
                <w:bCs/>
                <w:sz w:val="20"/>
                <w:szCs w:val="20"/>
              </w:rPr>
            </w:pPr>
            <w:r>
              <w:rPr>
                <w:b/>
                <w:bCs/>
                <w:sz w:val="20"/>
                <w:szCs w:val="20"/>
              </w:rPr>
              <w:t>996,9</w:t>
            </w:r>
          </w:p>
        </w:tc>
        <w:tc>
          <w:tcPr>
            <w:tcW w:w="993" w:type="dxa"/>
            <w:vAlign w:val="center"/>
          </w:tcPr>
          <w:p w:rsidR="00EE0EE5" w:rsidRPr="006D09CC" w:rsidRDefault="00EE0EE5" w:rsidP="00EE0EE5">
            <w:pPr>
              <w:jc w:val="center"/>
              <w:rPr>
                <w:b/>
                <w:bCs/>
                <w:sz w:val="20"/>
                <w:szCs w:val="20"/>
              </w:rPr>
            </w:pPr>
            <w:r>
              <w:rPr>
                <w:b/>
                <w:bCs/>
                <w:sz w:val="20"/>
                <w:szCs w:val="20"/>
              </w:rPr>
              <w:t>1067,6</w:t>
            </w:r>
          </w:p>
        </w:tc>
        <w:tc>
          <w:tcPr>
            <w:tcW w:w="992" w:type="dxa"/>
            <w:vAlign w:val="center"/>
          </w:tcPr>
          <w:p w:rsidR="00EE0EE5" w:rsidRPr="006D09CC" w:rsidRDefault="00EE0EE5" w:rsidP="00EE0EE5">
            <w:pPr>
              <w:jc w:val="center"/>
              <w:rPr>
                <w:b/>
                <w:bCs/>
                <w:sz w:val="20"/>
                <w:szCs w:val="20"/>
              </w:rPr>
            </w:pPr>
            <w:r>
              <w:rPr>
                <w:b/>
                <w:bCs/>
                <w:sz w:val="20"/>
                <w:szCs w:val="20"/>
              </w:rPr>
              <w:t>1068,9</w:t>
            </w:r>
          </w:p>
        </w:tc>
        <w:tc>
          <w:tcPr>
            <w:tcW w:w="992" w:type="dxa"/>
            <w:vAlign w:val="center"/>
          </w:tcPr>
          <w:p w:rsidR="00EE0EE5" w:rsidRPr="006D09CC" w:rsidRDefault="00EE0EE5" w:rsidP="00EE0EE5">
            <w:pPr>
              <w:jc w:val="center"/>
              <w:rPr>
                <w:b/>
                <w:bCs/>
                <w:sz w:val="20"/>
                <w:szCs w:val="20"/>
              </w:rPr>
            </w:pPr>
            <w:r>
              <w:rPr>
                <w:b/>
                <w:bCs/>
                <w:sz w:val="20"/>
                <w:szCs w:val="20"/>
              </w:rPr>
              <w:t>1072,5</w:t>
            </w:r>
          </w:p>
        </w:tc>
        <w:tc>
          <w:tcPr>
            <w:tcW w:w="1134" w:type="dxa"/>
            <w:vAlign w:val="center"/>
          </w:tcPr>
          <w:p w:rsidR="00EE0EE5" w:rsidRPr="006D09CC" w:rsidRDefault="00EF2414" w:rsidP="00605ABB">
            <w:pPr>
              <w:jc w:val="center"/>
              <w:rPr>
                <w:b/>
                <w:bCs/>
                <w:sz w:val="20"/>
                <w:szCs w:val="20"/>
              </w:rPr>
            </w:pPr>
            <w:r>
              <w:rPr>
                <w:b/>
                <w:bCs/>
                <w:sz w:val="20"/>
                <w:szCs w:val="20"/>
              </w:rPr>
              <w:t>107,1</w:t>
            </w:r>
          </w:p>
        </w:tc>
        <w:tc>
          <w:tcPr>
            <w:tcW w:w="1134" w:type="dxa"/>
            <w:vAlign w:val="center"/>
          </w:tcPr>
          <w:p w:rsidR="00EE0EE5" w:rsidRPr="006D09CC" w:rsidRDefault="00EF2414" w:rsidP="00EE0EE5">
            <w:pPr>
              <w:jc w:val="center"/>
              <w:rPr>
                <w:b/>
                <w:bCs/>
                <w:sz w:val="20"/>
                <w:szCs w:val="20"/>
              </w:rPr>
            </w:pPr>
            <w:r>
              <w:rPr>
                <w:b/>
                <w:bCs/>
                <w:sz w:val="20"/>
                <w:szCs w:val="20"/>
              </w:rPr>
              <w:t>100,1</w:t>
            </w:r>
          </w:p>
        </w:tc>
        <w:tc>
          <w:tcPr>
            <w:tcW w:w="1099" w:type="dxa"/>
            <w:vAlign w:val="center"/>
          </w:tcPr>
          <w:p w:rsidR="00EE0EE5" w:rsidRPr="006D09CC" w:rsidRDefault="00EF2414" w:rsidP="00EE0EE5">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5A1ECE"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«Общегосударственные расходы», объем которых </w:t>
      </w:r>
      <w:r w:rsidR="005A1ECE" w:rsidRPr="005A1ECE">
        <w:rPr>
          <w:rFonts w:ascii="Times New Roman" w:hAnsi="Times New Roman"/>
          <w:sz w:val="24"/>
          <w:szCs w:val="24"/>
        </w:rPr>
        <w:t xml:space="preserve">от общего объема расходов местного бюджета </w:t>
      </w:r>
      <w:r w:rsidR="00061443" w:rsidRPr="005A1ECE">
        <w:rPr>
          <w:rFonts w:ascii="Times New Roman" w:hAnsi="Times New Roman"/>
          <w:sz w:val="24"/>
          <w:szCs w:val="24"/>
        </w:rPr>
        <w:t xml:space="preserve">в 2024 году </w:t>
      </w:r>
      <w:r w:rsidRPr="005A1ECE">
        <w:rPr>
          <w:rFonts w:ascii="Times New Roman" w:hAnsi="Times New Roman"/>
          <w:sz w:val="24"/>
          <w:szCs w:val="24"/>
        </w:rPr>
        <w:t>составит</w:t>
      </w:r>
      <w:r w:rsidR="00663C5C" w:rsidRPr="005A1ECE">
        <w:rPr>
          <w:rFonts w:ascii="Times New Roman" w:hAnsi="Times New Roman"/>
          <w:sz w:val="24"/>
          <w:szCs w:val="24"/>
        </w:rPr>
        <w:t xml:space="preserve"> </w:t>
      </w:r>
      <w:r w:rsidR="00F9547C">
        <w:rPr>
          <w:rFonts w:ascii="Times New Roman" w:hAnsi="Times New Roman"/>
          <w:sz w:val="24"/>
          <w:szCs w:val="24"/>
        </w:rPr>
        <w:t>53,2</w:t>
      </w:r>
      <w:r w:rsidRPr="005A1ECE">
        <w:rPr>
          <w:rFonts w:ascii="Times New Roman" w:hAnsi="Times New Roman"/>
          <w:sz w:val="24"/>
          <w:szCs w:val="24"/>
        </w:rPr>
        <w:t>%,</w:t>
      </w:r>
      <w:r w:rsidR="00061443" w:rsidRPr="005A1ECE">
        <w:rPr>
          <w:rFonts w:ascii="Times New Roman" w:hAnsi="Times New Roman"/>
          <w:sz w:val="24"/>
          <w:szCs w:val="24"/>
        </w:rPr>
        <w:t xml:space="preserve"> в 2025 году </w:t>
      </w:r>
      <w:r w:rsidR="005A1ECE" w:rsidRPr="005A1ECE">
        <w:rPr>
          <w:rFonts w:ascii="Times New Roman" w:hAnsi="Times New Roman"/>
          <w:sz w:val="24"/>
          <w:szCs w:val="24"/>
        </w:rPr>
        <w:t>–</w:t>
      </w:r>
      <w:r w:rsidR="00061443" w:rsidRPr="005A1ECE">
        <w:rPr>
          <w:rFonts w:ascii="Times New Roman" w:hAnsi="Times New Roman"/>
          <w:sz w:val="24"/>
          <w:szCs w:val="24"/>
        </w:rPr>
        <w:t xml:space="preserve"> </w:t>
      </w:r>
      <w:r w:rsidR="00F9547C">
        <w:rPr>
          <w:rFonts w:ascii="Times New Roman" w:hAnsi="Times New Roman"/>
          <w:sz w:val="24"/>
          <w:szCs w:val="24"/>
        </w:rPr>
        <w:t>52,7</w:t>
      </w:r>
      <w:r w:rsidR="00061443"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в 2026 году – </w:t>
      </w:r>
      <w:r w:rsidR="00F9547C">
        <w:rPr>
          <w:rFonts w:ascii="Times New Roman" w:hAnsi="Times New Roman"/>
          <w:sz w:val="24"/>
          <w:szCs w:val="24"/>
        </w:rPr>
        <w:t>53,8</w:t>
      </w:r>
      <w:r w:rsidR="005A1ECE" w:rsidRPr="005A1ECE">
        <w:rPr>
          <w:rFonts w:ascii="Times New Roman" w:hAnsi="Times New Roman"/>
          <w:sz w:val="24"/>
          <w:szCs w:val="24"/>
        </w:rPr>
        <w:t xml:space="preserve">%; </w:t>
      </w:r>
    </w:p>
    <w:p w:rsidR="00F9547C"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«Культур</w:t>
      </w:r>
      <w:r w:rsidR="00F9547C">
        <w:rPr>
          <w:rFonts w:ascii="Times New Roman" w:hAnsi="Times New Roman"/>
          <w:sz w:val="24"/>
          <w:szCs w:val="24"/>
        </w:rPr>
        <w:t>у</w:t>
      </w:r>
      <w:r w:rsidRPr="005A1ECE">
        <w:rPr>
          <w:rFonts w:ascii="Times New Roman" w:hAnsi="Times New Roman"/>
          <w:sz w:val="24"/>
          <w:szCs w:val="24"/>
        </w:rPr>
        <w:t>, кинематографи</w:t>
      </w:r>
      <w:r w:rsidR="00F9547C">
        <w:rPr>
          <w:rFonts w:ascii="Times New Roman" w:hAnsi="Times New Roman"/>
          <w:sz w:val="24"/>
          <w:szCs w:val="24"/>
        </w:rPr>
        <w:t>ю</w:t>
      </w:r>
      <w:r w:rsidRPr="005A1ECE">
        <w:rPr>
          <w:rFonts w:ascii="Times New Roman" w:hAnsi="Times New Roman"/>
          <w:sz w:val="24"/>
          <w:szCs w:val="24"/>
        </w:rPr>
        <w:t>»</w:t>
      </w:r>
      <w:r w:rsidR="00663C5C" w:rsidRPr="005A1ECE">
        <w:rPr>
          <w:rFonts w:ascii="Times New Roman" w:hAnsi="Times New Roman"/>
          <w:sz w:val="24"/>
          <w:szCs w:val="24"/>
        </w:rPr>
        <w:t xml:space="preserve"> </w:t>
      </w:r>
      <w:r w:rsidR="00A22562"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объем которых от общего объема расходов местного бюджета в 2024 году составит </w:t>
      </w:r>
      <w:r w:rsidR="00F9547C">
        <w:rPr>
          <w:rFonts w:ascii="Times New Roman" w:hAnsi="Times New Roman"/>
          <w:sz w:val="24"/>
          <w:szCs w:val="24"/>
        </w:rPr>
        <w:t>16,8</w:t>
      </w:r>
      <w:r w:rsidR="005A1ECE" w:rsidRPr="005A1ECE">
        <w:rPr>
          <w:rFonts w:ascii="Times New Roman" w:hAnsi="Times New Roman"/>
          <w:sz w:val="24"/>
          <w:szCs w:val="24"/>
        </w:rPr>
        <w:t xml:space="preserve">%, в 2025 году – </w:t>
      </w:r>
      <w:r w:rsidR="00F9547C">
        <w:rPr>
          <w:rFonts w:ascii="Times New Roman" w:hAnsi="Times New Roman"/>
          <w:sz w:val="24"/>
          <w:szCs w:val="24"/>
        </w:rPr>
        <w:t>17,3</w:t>
      </w:r>
      <w:r w:rsidR="005A1ECE" w:rsidRPr="005A1ECE">
        <w:rPr>
          <w:rFonts w:ascii="Times New Roman" w:hAnsi="Times New Roman"/>
          <w:sz w:val="24"/>
          <w:szCs w:val="24"/>
        </w:rPr>
        <w:t xml:space="preserve">%, в 2026 году – </w:t>
      </w:r>
      <w:r w:rsidR="00F9547C">
        <w:rPr>
          <w:rFonts w:ascii="Times New Roman" w:hAnsi="Times New Roman"/>
          <w:sz w:val="24"/>
          <w:szCs w:val="24"/>
        </w:rPr>
        <w:t>17,8</w:t>
      </w:r>
      <w:r w:rsidR="005A1ECE" w:rsidRPr="005A1ECE">
        <w:rPr>
          <w:rFonts w:ascii="Times New Roman" w:hAnsi="Times New Roman"/>
          <w:sz w:val="24"/>
          <w:szCs w:val="24"/>
        </w:rPr>
        <w:t>%</w:t>
      </w:r>
      <w:r w:rsidR="00F9547C">
        <w:rPr>
          <w:rFonts w:ascii="Times New Roman" w:hAnsi="Times New Roman"/>
          <w:sz w:val="24"/>
          <w:szCs w:val="24"/>
        </w:rPr>
        <w:t>;</w:t>
      </w:r>
    </w:p>
    <w:p w:rsidR="00F9547C" w:rsidRDefault="00F9547C" w:rsidP="00F9547C">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w:t>
      </w:r>
      <w:r w:rsidRPr="00F9547C">
        <w:rPr>
          <w:rFonts w:ascii="Times New Roman" w:hAnsi="Times New Roman"/>
          <w:sz w:val="24"/>
          <w:szCs w:val="24"/>
        </w:rPr>
        <w:t>Межбюджетные трансферты общего характера бюджетам бюджетной системы Российской Федерации»</w:t>
      </w:r>
      <w:r w:rsidRPr="005A1ECE">
        <w:rPr>
          <w:rFonts w:ascii="Times New Roman" w:hAnsi="Times New Roman"/>
          <w:sz w:val="24"/>
          <w:szCs w:val="24"/>
        </w:rPr>
        <w:t xml:space="preserve"> – объем которых от общего объема расходов местного бюджета в 2024 году составит </w:t>
      </w:r>
      <w:r>
        <w:rPr>
          <w:rFonts w:ascii="Times New Roman" w:hAnsi="Times New Roman"/>
          <w:sz w:val="24"/>
          <w:szCs w:val="24"/>
        </w:rPr>
        <w:t>15,7</w:t>
      </w:r>
      <w:r w:rsidRPr="005A1ECE">
        <w:rPr>
          <w:rFonts w:ascii="Times New Roman" w:hAnsi="Times New Roman"/>
          <w:sz w:val="24"/>
          <w:szCs w:val="24"/>
        </w:rPr>
        <w:t xml:space="preserve">%, в 2025 году – </w:t>
      </w:r>
      <w:r>
        <w:rPr>
          <w:rFonts w:ascii="Times New Roman" w:hAnsi="Times New Roman"/>
          <w:sz w:val="24"/>
          <w:szCs w:val="24"/>
        </w:rPr>
        <w:t>16,7</w:t>
      </w:r>
      <w:r w:rsidRPr="005A1ECE">
        <w:rPr>
          <w:rFonts w:ascii="Times New Roman" w:hAnsi="Times New Roman"/>
          <w:sz w:val="24"/>
          <w:szCs w:val="24"/>
        </w:rPr>
        <w:t xml:space="preserve">%, в 2026 году – </w:t>
      </w:r>
      <w:r>
        <w:rPr>
          <w:rFonts w:ascii="Times New Roman" w:hAnsi="Times New Roman"/>
          <w:sz w:val="24"/>
          <w:szCs w:val="24"/>
        </w:rPr>
        <w:t>16,9</w:t>
      </w:r>
      <w:r w:rsidRPr="005A1ECE">
        <w:rPr>
          <w:rFonts w:ascii="Times New Roman" w:hAnsi="Times New Roman"/>
          <w:sz w:val="24"/>
          <w:szCs w:val="24"/>
        </w:rPr>
        <w:t>%</w:t>
      </w:r>
      <w:r>
        <w:rPr>
          <w:rFonts w:ascii="Times New Roman" w:hAnsi="Times New Roman"/>
          <w:sz w:val="24"/>
          <w:szCs w:val="24"/>
        </w:rPr>
        <w:t>.</w:t>
      </w:r>
    </w:p>
    <w:p w:rsidR="00943230" w:rsidRPr="005A1ECE" w:rsidRDefault="00943230" w:rsidP="00F9547C">
      <w:pPr>
        <w:pStyle w:val="af4"/>
        <w:widowControl w:val="0"/>
        <w:overflowPunct w:val="0"/>
        <w:autoSpaceDE w:val="0"/>
        <w:autoSpaceDN w:val="0"/>
        <w:adjustRightInd w:val="0"/>
        <w:spacing w:after="0" w:line="240" w:lineRule="auto"/>
        <w:ind w:left="924"/>
        <w:jc w:val="both"/>
        <w:textAlignment w:val="baseline"/>
        <w:rPr>
          <w:rFonts w:ascii="Times New Roman" w:hAnsi="Times New Roman"/>
          <w:sz w:val="24"/>
          <w:szCs w:val="24"/>
        </w:rPr>
      </w:pPr>
      <w:r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E06428">
        <w:rPr>
          <w:rFonts w:ascii="Times New Roman" w:hAnsi="Times New Roman"/>
        </w:rPr>
        <w:t>трем</w:t>
      </w:r>
      <w:r w:rsidRPr="00283264">
        <w:rPr>
          <w:rFonts w:ascii="Times New Roman" w:hAnsi="Times New Roman"/>
        </w:rPr>
        <w:t xml:space="preserve"> из </w:t>
      </w:r>
      <w:r w:rsidR="00CF699F">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F941EB">
        <w:rPr>
          <w:rFonts w:ascii="Times New Roman" w:hAnsi="Times New Roman"/>
          <w:snapToGrid w:val="0"/>
        </w:rPr>
        <w:t xml:space="preserve"> </w:t>
      </w:r>
      <w:r w:rsidR="00E06428">
        <w:rPr>
          <w:rFonts w:ascii="Times New Roman" w:hAnsi="Times New Roman"/>
          <w:snapToGrid w:val="0"/>
        </w:rPr>
        <w:t xml:space="preserve">«Жилищно-коммунальное хозяйство» - на 232,7 тыс. руб. (168%), </w:t>
      </w:r>
      <w:r w:rsidR="00EC4A96" w:rsidRPr="00CF699F">
        <w:rPr>
          <w:rFonts w:ascii="Times New Roman" w:hAnsi="Times New Roman" w:cs="Times New Roman"/>
          <w:snapToGrid w:val="0"/>
        </w:rPr>
        <w:t>«</w:t>
      </w:r>
      <w:r w:rsidR="00CF699F" w:rsidRPr="00CF699F">
        <w:rPr>
          <w:rFonts w:ascii="Times New Roman" w:hAnsi="Times New Roman" w:cs="Times New Roman"/>
        </w:rPr>
        <w:t xml:space="preserve">Межбюджетные трансферты общего характера бюджетам бюджетной системы </w:t>
      </w:r>
      <w:r w:rsidR="00CF699F">
        <w:rPr>
          <w:rFonts w:ascii="Times New Roman" w:hAnsi="Times New Roman" w:cs="Times New Roman"/>
        </w:rPr>
        <w:t>РФ</w:t>
      </w:r>
      <w:r w:rsidR="00EC4A96" w:rsidRPr="00CF699F">
        <w:rPr>
          <w:rFonts w:ascii="Times New Roman" w:hAnsi="Times New Roman" w:cs="Times New Roman"/>
          <w:snapToGrid w:val="0"/>
        </w:rPr>
        <w:t xml:space="preserve">» </w:t>
      </w:r>
      <w:r w:rsidR="00EC4A96">
        <w:rPr>
          <w:rFonts w:ascii="Times New Roman" w:hAnsi="Times New Roman"/>
          <w:snapToGrid w:val="0"/>
        </w:rPr>
        <w:t xml:space="preserve">- на </w:t>
      </w:r>
      <w:r w:rsidR="005A1ECE">
        <w:rPr>
          <w:rFonts w:ascii="Times New Roman" w:hAnsi="Times New Roman"/>
          <w:snapToGrid w:val="0"/>
        </w:rPr>
        <w:t>70,7</w:t>
      </w:r>
      <w:r w:rsidR="00EC4A96">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7,1</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D701AD">
        <w:t>3610,2</w:t>
      </w:r>
      <w:r w:rsidRPr="00595634">
        <w:t xml:space="preserve"> тыс.руб., </w:t>
      </w:r>
      <w:r w:rsidR="00DC2F83">
        <w:t>с</w:t>
      </w:r>
      <w:r w:rsidR="0001000E">
        <w:t>о</w:t>
      </w:r>
      <w:r w:rsidR="00DC2F83">
        <w:t xml:space="preserve"> </w:t>
      </w:r>
      <w:r w:rsidR="0001000E">
        <w:t>снижением</w:t>
      </w:r>
      <w:r w:rsidRPr="00595634">
        <w:t xml:space="preserve"> на </w:t>
      </w:r>
      <w:r w:rsidR="00D701AD">
        <w:t>429,1</w:t>
      </w:r>
      <w:r w:rsidRPr="00595634">
        <w:t xml:space="preserve"> тыс.руб. </w:t>
      </w:r>
      <w:r w:rsidR="0001000E">
        <w:t>(-</w:t>
      </w:r>
      <w:r w:rsidR="00D701AD">
        <w:t>10,6</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100206">
        <w:t>–</w:t>
      </w:r>
      <w:r w:rsidRPr="00595634">
        <w:t xml:space="preserve"> </w:t>
      </w:r>
      <w:r w:rsidR="00D701AD">
        <w:t>53,2</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D701AD">
        <w:t>3505</w:t>
      </w:r>
      <w:r w:rsidR="007638EF">
        <w:t xml:space="preserve"> тыс. руб. и </w:t>
      </w:r>
      <w:r w:rsidR="00D701AD">
        <w:t>3418,8</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AC241A">
        <w:t>Усть-Илгинского</w:t>
      </w:r>
      <w:r w:rsidR="0000549E">
        <w:t xml:space="preserve">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AC241A">
        <w:t>Усть-Илгинского</w:t>
      </w:r>
      <w:r w:rsidR="0000549E">
        <w:t xml:space="preserve"> </w:t>
      </w:r>
      <w:r w:rsidR="009A7867">
        <w:t>муниципального образования</w:t>
      </w:r>
      <w:r w:rsidR="009A7867" w:rsidRPr="00895EC4">
        <w:t xml:space="preserve"> </w:t>
      </w:r>
      <w:r w:rsidRPr="00895EC4">
        <w:t xml:space="preserve">в сумме </w:t>
      </w:r>
      <w:r w:rsidR="00D701AD">
        <w:t>1030</w:t>
      </w:r>
      <w:r w:rsidR="004E4D52">
        <w:t xml:space="preserve"> </w:t>
      </w:r>
      <w:r w:rsidRPr="00895EC4">
        <w:t>тыс.руб.</w:t>
      </w:r>
      <w:r w:rsidR="00E53E0C">
        <w:t>,</w:t>
      </w:r>
      <w:r w:rsidR="006469FD">
        <w:t xml:space="preserve"> </w:t>
      </w:r>
      <w:r w:rsidR="00D701AD">
        <w:t>с ростом на 11 тыс. руб. (101,1%)</w:t>
      </w:r>
      <w:r w:rsidR="00100206">
        <w:t xml:space="preserve"> </w:t>
      </w:r>
      <w:r w:rsidR="00D701AD">
        <w:t xml:space="preserve">к </w:t>
      </w:r>
      <w:r w:rsidR="00100206">
        <w:t>уровню</w:t>
      </w:r>
      <w:r>
        <w:t xml:space="preserve"> оценк</w:t>
      </w:r>
      <w:r w:rsidR="00100206">
        <w:t>и</w:t>
      </w:r>
      <w:r>
        <w:t xml:space="preserve">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D701AD">
        <w:t>15,2</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28,5</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D701AD">
        <w:t>1030</w:t>
      </w:r>
      <w:r w:rsidR="007638EF">
        <w:t xml:space="preserve"> тыс. руб., ежегодно.</w:t>
      </w:r>
      <w:r w:rsidR="007638EF" w:rsidRPr="007638EF">
        <w:t xml:space="preserve"> </w:t>
      </w:r>
    </w:p>
    <w:p w:rsidR="00E37C8A" w:rsidRDefault="00745D94" w:rsidP="00E37C8A">
      <w:pPr>
        <w:ind w:firstLine="567"/>
        <w:jc w:val="both"/>
      </w:pPr>
      <w:r w:rsidRPr="00895EC4">
        <w:rPr>
          <w:i/>
        </w:rPr>
        <w:lastRenderedPageBreak/>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AC241A">
        <w:t>Усть-Илгинского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00100206">
        <w:t xml:space="preserve"> тыс.руб</w:t>
      </w:r>
      <w:r w:rsidRPr="00895EC4">
        <w:t xml:space="preserve">. </w:t>
      </w:r>
      <w:r w:rsidR="00B40168" w:rsidRPr="00595634">
        <w:t xml:space="preserve">Данные расходы составляют </w:t>
      </w:r>
      <w:r w:rsidR="00D701AD">
        <w:t>0,01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D701AD">
        <w:t>3</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AC241A">
        <w:t>Усть-Илгинского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D701AD">
        <w:t>2573,5</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D701AD">
        <w:t>440,1</w:t>
      </w:r>
      <w:r w:rsidR="00DE0B51">
        <w:t xml:space="preserve"> </w:t>
      </w:r>
      <w:r w:rsidRPr="00895EC4">
        <w:t>тыс.руб. (</w:t>
      </w:r>
      <w:r w:rsidR="00BD38B1">
        <w:t>-</w:t>
      </w:r>
      <w:r w:rsidR="00D701AD">
        <w:t>14,6</w:t>
      </w:r>
      <w:r w:rsidRPr="00895EC4">
        <w:t>%)</w:t>
      </w:r>
      <w:r w:rsidR="00BD38B1">
        <w:t>; их доля</w:t>
      </w:r>
      <w:r w:rsidRPr="00895EC4">
        <w:t xml:space="preserve"> </w:t>
      </w:r>
      <w:r w:rsidR="00B40168" w:rsidRPr="00595634">
        <w:t>составля</w:t>
      </w:r>
      <w:r w:rsidR="00BD38B1">
        <w:t>е</w:t>
      </w:r>
      <w:r w:rsidR="00B40168" w:rsidRPr="00595634">
        <w:t xml:space="preserve">т </w:t>
      </w:r>
      <w:r w:rsidR="00D701AD">
        <w:t>37,9</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71,3</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D701AD">
        <w:t>2468,3</w:t>
      </w:r>
      <w:r w:rsidR="00834B2C">
        <w:t xml:space="preserve"> тыс. руб. и </w:t>
      </w:r>
      <w:r w:rsidR="00D701AD">
        <w:t>2382,1</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AC241A">
        <w:rPr>
          <w:bCs/>
        </w:rPr>
        <w:t>Усть-Илгинского</w:t>
      </w:r>
      <w:r w:rsidR="0000549E">
        <w:rPr>
          <w:bCs/>
        </w:rPr>
        <w:t xml:space="preserve"> сельского поселения</w:t>
      </w:r>
      <w:r>
        <w:t xml:space="preserve"> на 20</w:t>
      </w:r>
      <w:r w:rsidR="003E78ED">
        <w:t>2</w:t>
      </w:r>
      <w:r w:rsidR="00BD38B1">
        <w:t>4</w:t>
      </w:r>
      <w:r w:rsidR="00A315C2">
        <w:t xml:space="preserve"> год </w:t>
      </w:r>
      <w:r w:rsidRPr="000A7F43">
        <w:t xml:space="preserve">в сумме </w:t>
      </w:r>
      <w:r w:rsidR="00D701AD">
        <w:t>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D701AD">
        <w:t>0,07</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0,1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w:t>
      </w:r>
      <w:r w:rsidR="00D701AD">
        <w:t>5</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D701AD">
        <w:t>0,01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0,02</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D701AD">
        <w:t>2,7</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5F7A42">
        <w:t>-202</w:t>
      </w:r>
      <w:r w:rsidR="007A3B4B">
        <w:t>6</w:t>
      </w:r>
      <w:r w:rsidR="005F7A42">
        <w:t xml:space="preserve"> годы установлены в сумме </w:t>
      </w:r>
      <w:r w:rsidR="007A3B4B">
        <w:t>189,5</w:t>
      </w:r>
      <w:r w:rsidR="005F7A42">
        <w:t xml:space="preserve"> тыс. руб. и </w:t>
      </w:r>
      <w:r w:rsidR="007A3B4B">
        <w:t>0,0</w:t>
      </w:r>
      <w:r w:rsidR="005F7A42">
        <w:t xml:space="preserve"> тыс. руб., соответственно.</w:t>
      </w:r>
    </w:p>
    <w:p w:rsidR="0012608D" w:rsidRPr="00895EC4" w:rsidRDefault="00D701AD" w:rsidP="0012608D">
      <w:pPr>
        <w:widowControl w:val="0"/>
        <w:numPr>
          <w:ilvl w:val="12"/>
          <w:numId w:val="0"/>
        </w:numPr>
        <w:ind w:firstLine="567"/>
        <w:jc w:val="both"/>
      </w:pPr>
      <w:r>
        <w:rPr>
          <w:u w:val="single"/>
        </w:rPr>
        <w:t>В целом, п</w:t>
      </w:r>
      <w:r w:rsidR="00BA0EC3" w:rsidRPr="004575EE">
        <w:rPr>
          <w:u w:val="single"/>
        </w:rPr>
        <w:t>о разделу 03</w:t>
      </w:r>
      <w:r w:rsidR="00BA0EC3">
        <w:rPr>
          <w:u w:val="single"/>
        </w:rPr>
        <w:t>00</w:t>
      </w:r>
      <w:r w:rsidR="00BA0EC3" w:rsidRPr="004575EE">
        <w:rPr>
          <w:u w:val="single"/>
        </w:rPr>
        <w:t xml:space="preserve"> </w:t>
      </w:r>
      <w:r w:rsidR="00BA0EC3" w:rsidRPr="004575EE">
        <w:rPr>
          <w:bCs/>
          <w:u w:val="single"/>
        </w:rPr>
        <w:t>«Национальная безопасность и правоохранительная деятельность»</w:t>
      </w:r>
      <w:r w:rsidR="00BA0EC3" w:rsidRPr="00895EC4">
        <w:rPr>
          <w:i/>
        </w:rPr>
        <w:t xml:space="preserve"> </w:t>
      </w:r>
      <w:r w:rsidR="00BA0EC3" w:rsidRPr="00895EC4">
        <w:t xml:space="preserve">расходы </w:t>
      </w:r>
      <w:r w:rsidR="00BA0EC3">
        <w:t>на</w:t>
      </w:r>
      <w:r w:rsidR="00BA0EC3" w:rsidRPr="00895EC4">
        <w:t xml:space="preserve"> 20</w:t>
      </w:r>
      <w:r w:rsidR="00BA0EC3">
        <w:t>2</w:t>
      </w:r>
      <w:r w:rsidR="007A3B4B">
        <w:t>4</w:t>
      </w:r>
      <w:r w:rsidR="00BA0EC3" w:rsidRPr="00895EC4">
        <w:t xml:space="preserve"> г. </w:t>
      </w:r>
      <w:r w:rsidR="00BA0EC3">
        <w:t xml:space="preserve">установлены в сумме </w:t>
      </w:r>
      <w:r>
        <w:t>51</w:t>
      </w:r>
      <w:r w:rsidR="00BA0EC3">
        <w:t xml:space="preserve"> тыс. руб., со снижением</w:t>
      </w:r>
      <w:r w:rsidR="00BA0EC3" w:rsidRPr="00895EC4">
        <w:t xml:space="preserve"> на </w:t>
      </w:r>
      <w:r w:rsidR="002B5339">
        <w:t>9050</w:t>
      </w:r>
      <w:r w:rsidR="00BA0EC3" w:rsidRPr="00895EC4">
        <w:t xml:space="preserve"> тыс.руб. (</w:t>
      </w:r>
      <w:r w:rsidR="00BA0EC3">
        <w:t>-</w:t>
      </w:r>
      <w:r w:rsidR="002B5339">
        <w:t>99,4</w:t>
      </w:r>
      <w:r w:rsidR="00BA0EC3">
        <w:t>%</w:t>
      </w:r>
      <w:r w:rsidR="00BA0EC3" w:rsidRPr="00895EC4">
        <w:t>)</w:t>
      </w:r>
      <w:r w:rsidR="00BA0EC3">
        <w:t xml:space="preserve"> к оценке </w:t>
      </w:r>
      <w:r w:rsidR="003D2D64">
        <w:t xml:space="preserve">исполнения </w:t>
      </w:r>
      <w:r w:rsidR="00BA0EC3">
        <w:t>202</w:t>
      </w:r>
      <w:r w:rsidR="007A3B4B">
        <w:t>3</w:t>
      </w:r>
      <w:r w:rsidR="00BA0EC3">
        <w:t xml:space="preserve"> года</w:t>
      </w:r>
      <w:r w:rsidR="00BA0EC3" w:rsidRPr="00895EC4">
        <w:t xml:space="preserve">. Данные расходы </w:t>
      </w:r>
      <w:r w:rsidR="00354A33">
        <w:t xml:space="preserve">установлены в целях предупреждения и ликвидации ЧС, </w:t>
      </w:r>
      <w:r w:rsidR="00147C34">
        <w:t>обеспечения национальной безопасности и правоохранительной деятельности</w:t>
      </w:r>
      <w:r w:rsidR="00354A33">
        <w:t xml:space="preserve">, </w:t>
      </w:r>
      <w:r w:rsidR="00BA0EC3" w:rsidRPr="00895EC4">
        <w:t xml:space="preserve">составляют </w:t>
      </w:r>
      <w:r w:rsidR="002B5339">
        <w:t>0,8</w:t>
      </w:r>
      <w:r w:rsidR="00BA0EC3" w:rsidRPr="00895EC4">
        <w:t xml:space="preserve">% от общей суммы расходов </w:t>
      </w:r>
      <w:r w:rsidR="00BA0EC3">
        <w:t xml:space="preserve">местного </w:t>
      </w:r>
      <w:r w:rsidR="00BA0EC3" w:rsidRPr="00895EC4">
        <w:t>бюджета на 20</w:t>
      </w:r>
      <w:r w:rsidR="00BA0EC3">
        <w:t>2</w:t>
      </w:r>
      <w:r w:rsidR="007A3B4B">
        <w:t>4</w:t>
      </w:r>
      <w:r w:rsidR="00BA0EC3" w:rsidRPr="00895EC4">
        <w:t xml:space="preserve"> г</w:t>
      </w:r>
      <w:r w:rsidR="00BA0EC3">
        <w:t>од</w:t>
      </w:r>
      <w:r w:rsidR="00FB4726">
        <w:t>.</w:t>
      </w:r>
      <w:r w:rsidR="0012608D" w:rsidRPr="0012608D">
        <w:t xml:space="preserve"> </w:t>
      </w:r>
      <w:r w:rsidR="0012608D">
        <w:t>Расходы на 202</w:t>
      </w:r>
      <w:r w:rsidR="007A3B4B">
        <w:t>5</w:t>
      </w:r>
      <w:r w:rsidR="002B5339">
        <w:t xml:space="preserve"> </w:t>
      </w:r>
      <w:r w:rsidR="0012608D">
        <w:t xml:space="preserve">год установлены в сумме </w:t>
      </w:r>
      <w:r w:rsidR="002B5339">
        <w:t>5</w:t>
      </w:r>
      <w:r w:rsidR="0012608D">
        <w:t xml:space="preserve"> тыс. руб.</w:t>
      </w:r>
      <w:r w:rsidR="002B5339">
        <w:t>, на</w:t>
      </w:r>
      <w:r w:rsidR="0012608D">
        <w:t xml:space="preserve"> </w:t>
      </w:r>
      <w:r w:rsidR="002B5339">
        <w:t>2026 год – не предусмотрены</w:t>
      </w:r>
      <w:r w:rsidR="0012608D">
        <w:t>.</w:t>
      </w:r>
    </w:p>
    <w:p w:rsidR="00C049FA" w:rsidRPr="00895EC4" w:rsidRDefault="002B5339" w:rsidP="00C049FA">
      <w:pPr>
        <w:widowControl w:val="0"/>
        <w:numPr>
          <w:ilvl w:val="12"/>
          <w:numId w:val="0"/>
        </w:numPr>
        <w:ind w:firstLine="567"/>
        <w:jc w:val="both"/>
      </w:pPr>
      <w:r>
        <w:t xml:space="preserve">По </w:t>
      </w:r>
      <w:r w:rsidRPr="00E63E36">
        <w:t xml:space="preserve">подразделу </w:t>
      </w:r>
      <w:r>
        <w:t>0309</w:t>
      </w:r>
      <w:r w:rsidRPr="00E63E36">
        <w:t xml:space="preserve"> </w:t>
      </w:r>
      <w:r>
        <w:t>«Гражданская оборона» установлены расходы на 2024-2025 годы в сумме 1 тыс. руб., со снижением на 4 тыс. руб. (-80%) к оценке исполнения 2023 года</w:t>
      </w:r>
      <w:r w:rsidR="00C049FA">
        <w:t>, на 2026 год – не предусмотрены.</w:t>
      </w:r>
    </w:p>
    <w:p w:rsidR="002A28F5" w:rsidRDefault="002B5339" w:rsidP="00B20C84">
      <w:pPr>
        <w:ind w:firstLine="567"/>
        <w:jc w:val="both"/>
      </w:pPr>
      <w:r>
        <w:t xml:space="preserve">По </w:t>
      </w:r>
      <w:r w:rsidR="00D701AD" w:rsidRPr="00E63E36">
        <w:t>подразделу 0310 «Защита населения и территории от чрезвычайных ситуаций природного и техногенного характера, пожарная безопасность»</w:t>
      </w:r>
      <w:r>
        <w:t xml:space="preserve"> установлены расходы</w:t>
      </w:r>
      <w:r w:rsidR="002A28F5">
        <w:rPr>
          <w:rFonts w:eastAsia="Calibri"/>
          <w:lang w:eastAsia="en-US"/>
        </w:rPr>
        <w:t xml:space="preserve"> на 2024 год в сумме 50 тыс. руб., на 2025 год в сумме 5 тыс. руб., на 2026 год – не предусмотрены</w:t>
      </w:r>
      <w:r w:rsidR="00C049FA">
        <w:rPr>
          <w:rFonts w:eastAsia="Calibri"/>
          <w:lang w:eastAsia="en-US"/>
        </w:rPr>
        <w:t>.</w:t>
      </w:r>
      <w:r w:rsidR="00C049FA" w:rsidRPr="000554A7">
        <w:rPr>
          <w:rFonts w:eastAsia="Calibri"/>
          <w:b/>
          <w:sz w:val="20"/>
          <w:szCs w:val="20"/>
          <w:lang w:eastAsia="en-US"/>
        </w:rPr>
        <w:t xml:space="preserve">  </w:t>
      </w:r>
      <w:r w:rsidR="00C049FA">
        <w:t xml:space="preserve"> </w:t>
      </w:r>
    </w:p>
    <w:p w:rsidR="002A28F5" w:rsidRDefault="002A28F5" w:rsidP="00B20C84">
      <w:pPr>
        <w:ind w:firstLine="567"/>
        <w:jc w:val="both"/>
        <w:rPr>
          <w:rFonts w:eastAsia="Calibri"/>
          <w:lang w:eastAsia="en-US"/>
        </w:rPr>
      </w:pPr>
      <w:r>
        <w:t xml:space="preserve">В том числе, </w:t>
      </w:r>
      <w:r>
        <w:rPr>
          <w:rFonts w:eastAsia="Calibri"/>
          <w:lang w:eastAsia="en-US"/>
        </w:rPr>
        <w:t xml:space="preserve">предлагаются к утверждению расходы на 2024 год в сумме 15 тыс. руб., на 2025 год в сумме 5 тыс. руб. </w:t>
      </w:r>
      <w:r>
        <w:t>в целях реализации мероприятий муниципальной программы «</w:t>
      </w:r>
      <w:r w:rsidRPr="008D7057">
        <w:t>Обеспечение пожарной безопасности</w:t>
      </w:r>
      <w:r>
        <w:t xml:space="preserve"> на территории Усть-Илгинского </w:t>
      </w:r>
      <w:r w:rsidRPr="008D7057">
        <w:t xml:space="preserve">сельского поселения </w:t>
      </w:r>
      <w:r>
        <w:t>на 2021 - 2025</w:t>
      </w:r>
      <w:r w:rsidRPr="008D7057">
        <w:t xml:space="preserve"> годы</w:t>
      </w:r>
      <w:r>
        <w:t xml:space="preserve">», утвержденной постановлением администрации Усть-Илгинского сельского поселения от </w:t>
      </w:r>
      <w:r w:rsidRPr="00C049FA">
        <w:rPr>
          <w:rFonts w:eastAsia="Calibri"/>
          <w:lang w:eastAsia="en-US"/>
        </w:rPr>
        <w:t>03.03.2021</w:t>
      </w:r>
      <w:r>
        <w:rPr>
          <w:rFonts w:eastAsia="Calibri"/>
          <w:lang w:eastAsia="en-US"/>
        </w:rPr>
        <w:t xml:space="preserve"> </w:t>
      </w:r>
      <w:r w:rsidRPr="00C049FA">
        <w:rPr>
          <w:rFonts w:eastAsia="Calibri"/>
          <w:lang w:eastAsia="en-US"/>
        </w:rPr>
        <w:t>№</w:t>
      </w:r>
      <w:r w:rsidRPr="00C049FA">
        <w:rPr>
          <w:rFonts w:eastAsia="Calibri"/>
          <w:b/>
          <w:lang w:eastAsia="en-US"/>
        </w:rPr>
        <w:t xml:space="preserve"> </w:t>
      </w:r>
      <w:r w:rsidRPr="00C049FA">
        <w:rPr>
          <w:rFonts w:eastAsia="Calibri"/>
          <w:lang w:eastAsia="en-US"/>
        </w:rPr>
        <w:t>7-од</w:t>
      </w:r>
      <w:r>
        <w:rPr>
          <w:rFonts w:eastAsia="Calibri"/>
          <w:lang w:eastAsia="en-US"/>
        </w:rPr>
        <w:t>.</w:t>
      </w:r>
    </w:p>
    <w:p w:rsidR="002A28F5" w:rsidRPr="00FB4726" w:rsidRDefault="002A28F5" w:rsidP="002A28F5">
      <w:pPr>
        <w:widowControl w:val="0"/>
        <w:numPr>
          <w:ilvl w:val="12"/>
          <w:numId w:val="0"/>
        </w:numPr>
        <w:ind w:firstLine="567"/>
        <w:jc w:val="both"/>
        <w:rPr>
          <w:i/>
        </w:rPr>
      </w:pPr>
      <w:r w:rsidRPr="00FB4726">
        <w:rPr>
          <w:i/>
        </w:rPr>
        <w:lastRenderedPageBreak/>
        <w:t xml:space="preserve">КСК района отмечает, что объемы финансирования в проекте бюджета </w:t>
      </w:r>
      <w:r>
        <w:rPr>
          <w:i/>
        </w:rPr>
        <w:t xml:space="preserve">по подразделу 0310 </w:t>
      </w:r>
      <w:r w:rsidRPr="00691A02">
        <w:rPr>
          <w:i/>
        </w:rPr>
        <w:t>«Защита населения и территории от чрезвычайных ситуаций природного и техногенного характера, пожарная безопасность»</w:t>
      </w:r>
      <w:r>
        <w:t xml:space="preserve"> </w:t>
      </w:r>
      <w:r>
        <w:rPr>
          <w:i/>
        </w:rPr>
        <w:t xml:space="preserve">на 2024 год </w:t>
      </w:r>
      <w:r w:rsidR="00691A02">
        <w:rPr>
          <w:i/>
        </w:rPr>
        <w:t>установлены в сумме</w:t>
      </w:r>
      <w:r>
        <w:rPr>
          <w:i/>
        </w:rPr>
        <w:t xml:space="preserve"> </w:t>
      </w:r>
      <w:r w:rsidR="00691A02">
        <w:rPr>
          <w:i/>
        </w:rPr>
        <w:t>15</w:t>
      </w:r>
      <w:r w:rsidRPr="00FB4726">
        <w:rPr>
          <w:i/>
        </w:rPr>
        <w:t xml:space="preserve"> тыс. руб.</w:t>
      </w:r>
      <w:r w:rsidR="00691A02">
        <w:rPr>
          <w:i/>
        </w:rPr>
        <w:t xml:space="preserve"> и</w:t>
      </w:r>
      <w:r>
        <w:rPr>
          <w:i/>
        </w:rPr>
        <w:t xml:space="preserve"> </w:t>
      </w:r>
      <w:r w:rsidRPr="00FB4726">
        <w:rPr>
          <w:i/>
        </w:rPr>
        <w:t xml:space="preserve">не соответствуют </w:t>
      </w:r>
      <w:r>
        <w:rPr>
          <w:i/>
        </w:rPr>
        <w:t xml:space="preserve">объемам финансирования по </w:t>
      </w:r>
      <w:r w:rsidRPr="00FB4726">
        <w:rPr>
          <w:i/>
        </w:rPr>
        <w:t>паспорту муниципальной программы (202</w:t>
      </w:r>
      <w:r w:rsidR="00691A02">
        <w:rPr>
          <w:i/>
        </w:rPr>
        <w:t>4</w:t>
      </w:r>
      <w:r w:rsidRPr="00FB4726">
        <w:rPr>
          <w:i/>
        </w:rPr>
        <w:t xml:space="preserve"> год – </w:t>
      </w:r>
      <w:r>
        <w:rPr>
          <w:i/>
        </w:rPr>
        <w:t>18</w:t>
      </w:r>
      <w:r w:rsidRPr="00FB4726">
        <w:rPr>
          <w:i/>
        </w:rPr>
        <w:t xml:space="preserve"> тыс. руб.). </w:t>
      </w:r>
      <w:r>
        <w:rPr>
          <w:i/>
        </w:rPr>
        <w:t xml:space="preserve">Требуется </w:t>
      </w:r>
      <w:r w:rsidR="00691A02">
        <w:rPr>
          <w:i/>
        </w:rPr>
        <w:t>внести изменения в паспорт муниципальной программы согласно показателям проекта бюджета</w:t>
      </w:r>
      <w:r>
        <w:rPr>
          <w:i/>
        </w:rPr>
        <w:t>.</w:t>
      </w:r>
    </w:p>
    <w:p w:rsidR="00104942" w:rsidRPr="00895EC4" w:rsidRDefault="002A28F5" w:rsidP="00691A02">
      <w:pPr>
        <w:ind w:firstLine="567"/>
        <w:jc w:val="both"/>
      </w:pPr>
      <w:r>
        <w:rPr>
          <w:rFonts w:eastAsia="Calibri"/>
          <w:lang w:eastAsia="en-US"/>
        </w:rPr>
        <w:t xml:space="preserve"> </w:t>
      </w:r>
      <w:r w:rsidR="00745D94" w:rsidRPr="00895EC4">
        <w:rPr>
          <w:u w:val="single"/>
        </w:rPr>
        <w:t>Расходы по разделу 04</w:t>
      </w:r>
      <w:r w:rsidR="00745D94">
        <w:rPr>
          <w:u w:val="single"/>
        </w:rPr>
        <w:t>00</w:t>
      </w:r>
      <w:r w:rsidR="00745D94" w:rsidRPr="00895EC4">
        <w:rPr>
          <w:u w:val="single"/>
        </w:rPr>
        <w:t xml:space="preserve"> «Национальная экономика</w:t>
      </w:r>
      <w:r w:rsidR="00745D94" w:rsidRPr="00361741">
        <w:rPr>
          <w:u w:val="single"/>
        </w:rPr>
        <w:t>»</w:t>
      </w:r>
      <w:r w:rsidR="009520B1" w:rsidRPr="00361741">
        <w:rPr>
          <w:u w:val="single"/>
        </w:rPr>
        <w:t xml:space="preserve"> </w:t>
      </w:r>
      <w:r w:rsidR="00361741" w:rsidRPr="00361741">
        <w:rPr>
          <w:u w:val="single"/>
        </w:rPr>
        <w:t>подразделу 0409 «Дорожное хозяйство (дорожные фонды)»</w:t>
      </w:r>
      <w:r w:rsidR="00361741">
        <w:t xml:space="preserve"> </w:t>
      </w:r>
      <w:r w:rsidR="002E1E04" w:rsidRPr="002E1E04">
        <w:t xml:space="preserve">на </w:t>
      </w:r>
      <w:r w:rsidR="002E1E04" w:rsidRPr="00595634">
        <w:t>20</w:t>
      </w:r>
      <w:r w:rsidR="002E1E04">
        <w:t>2</w:t>
      </w:r>
      <w:r w:rsidR="0067349E">
        <w:t>4</w:t>
      </w:r>
      <w:r w:rsidR="002E1E04" w:rsidRPr="00595634">
        <w:t xml:space="preserve">г. установлены в объеме </w:t>
      </w:r>
      <w:r w:rsidR="009A5330">
        <w:t>360</w:t>
      </w:r>
      <w:r w:rsidR="002E1E04" w:rsidRPr="00595634">
        <w:t xml:space="preserve"> тыс.руб., </w:t>
      </w:r>
      <w:r w:rsidR="00882706">
        <w:t>со снижением</w:t>
      </w:r>
      <w:r w:rsidR="002E1E04" w:rsidRPr="00595634">
        <w:t xml:space="preserve"> на </w:t>
      </w:r>
      <w:r w:rsidR="009A5330">
        <w:t>1055</w:t>
      </w:r>
      <w:r w:rsidR="002E1E04" w:rsidRPr="00595634">
        <w:t xml:space="preserve"> тыс.руб. </w:t>
      </w:r>
      <w:r w:rsidR="002E1E04">
        <w:t>(</w:t>
      </w:r>
      <w:r w:rsidR="009C1066">
        <w:t>-</w:t>
      </w:r>
      <w:r w:rsidR="009A5330">
        <w:t>74,6</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AE2CF9">
        <w:t>3</w:t>
      </w:r>
      <w:r w:rsidR="002E1E04" w:rsidRPr="00595634">
        <w:t>г.</w:t>
      </w:r>
      <w:r w:rsidR="00AE2CF9">
        <w:t>, их доля</w:t>
      </w:r>
      <w:r w:rsidR="002E1E04" w:rsidRPr="00595634">
        <w:t xml:space="preserve"> составля</w:t>
      </w:r>
      <w:r w:rsidR="00AE2CF9">
        <w:t>е</w:t>
      </w:r>
      <w:r w:rsidR="002E1E04" w:rsidRPr="00595634">
        <w:t xml:space="preserve">т </w:t>
      </w:r>
      <w:r w:rsidR="009A5330">
        <w:t>5,3</w:t>
      </w:r>
      <w:r w:rsidR="002E1E04" w:rsidRPr="00595634">
        <w:t xml:space="preserve">% от общей суммы расходов </w:t>
      </w:r>
      <w:r w:rsidR="002E1E04">
        <w:t xml:space="preserve">местного </w:t>
      </w:r>
      <w:r w:rsidR="002E1E04" w:rsidRPr="00595634">
        <w:t>бюджета на 20</w:t>
      </w:r>
      <w:r w:rsidR="002E1E04">
        <w:t>2</w:t>
      </w:r>
      <w:r w:rsidR="00AE2CF9">
        <w:t>4</w:t>
      </w:r>
      <w:r w:rsidR="002E1E04" w:rsidRPr="00595634">
        <w:t>г.</w:t>
      </w:r>
      <w:r w:rsidR="002E1E04" w:rsidRPr="00895EC4">
        <w:t xml:space="preserve"> </w:t>
      </w:r>
      <w:r w:rsidR="00104942">
        <w:t>Расходы на 202</w:t>
      </w:r>
      <w:r w:rsidR="00AE2CF9">
        <w:t>5</w:t>
      </w:r>
      <w:r w:rsidR="00104942">
        <w:t>-202</w:t>
      </w:r>
      <w:r w:rsidR="00AE2CF9">
        <w:t>6</w:t>
      </w:r>
      <w:r w:rsidR="00104942">
        <w:t xml:space="preserve"> годы установлены в сумме </w:t>
      </w:r>
      <w:r w:rsidR="009A5330">
        <w:t>370,9</w:t>
      </w:r>
      <w:r w:rsidR="00104942">
        <w:t xml:space="preserve"> тыс. руб. и </w:t>
      </w:r>
      <w:r w:rsidR="009A5330">
        <w:t xml:space="preserve">383,8 </w:t>
      </w:r>
      <w:r w:rsidR="00104942">
        <w:t>тыс. руб., соответственно.</w:t>
      </w:r>
    </w:p>
    <w:p w:rsidR="00BE7ADA" w:rsidRDefault="009C1066" w:rsidP="00AE4998">
      <w:pPr>
        <w:widowControl w:val="0"/>
        <w:numPr>
          <w:ilvl w:val="12"/>
          <w:numId w:val="0"/>
        </w:numPr>
        <w:ind w:firstLine="567"/>
        <w:jc w:val="both"/>
      </w:pPr>
      <w:r>
        <w:t>Расходы за счет средств муниципального дорожного фо</w:t>
      </w:r>
      <w:r w:rsidR="0067349E">
        <w:t>н</w:t>
      </w:r>
      <w:r>
        <w:t>да направ</w:t>
      </w:r>
      <w:r w:rsidR="00882706">
        <w:t>ляются</w:t>
      </w:r>
      <w:r>
        <w:t xml:space="preserve"> на ремонт и содержание автомобильных дорог общего пользования местного значения</w:t>
      </w:r>
      <w:r w:rsidR="00AE4998">
        <w:t>.</w:t>
      </w:r>
    </w:p>
    <w:p w:rsidR="004528AF" w:rsidRPr="00630CB1" w:rsidRDefault="008B5008" w:rsidP="004528AF">
      <w:pPr>
        <w:widowControl w:val="0"/>
        <w:numPr>
          <w:ilvl w:val="12"/>
          <w:numId w:val="0"/>
        </w:numPr>
        <w:ind w:firstLine="567"/>
        <w:jc w:val="both"/>
      </w:pPr>
      <w:r>
        <w:t xml:space="preserve">Проектом бюджета расходы по </w:t>
      </w:r>
      <w:r w:rsidRPr="008B5008">
        <w:t>р</w:t>
      </w:r>
      <w:r w:rsidRPr="008B5008">
        <w:rPr>
          <w:u w:val="single"/>
        </w:rPr>
        <w:t>азделу 0500 «Жилищно-коммунальное хозяйство»</w:t>
      </w:r>
      <w:r w:rsidRPr="008B5008">
        <w:rPr>
          <w:b/>
        </w:rPr>
        <w:t xml:space="preserve"> </w:t>
      </w:r>
      <w:r w:rsidRPr="008B5008">
        <w:rPr>
          <w:u w:val="single"/>
        </w:rPr>
        <w:t>подразделу 0503 «Благоустройство»</w:t>
      </w:r>
      <w:r w:rsidRPr="008B5008">
        <w:t xml:space="preserve"> </w:t>
      </w:r>
      <w:r w:rsidR="004528AF" w:rsidRPr="00630CB1">
        <w:t>установлены на 20</w:t>
      </w:r>
      <w:r w:rsidR="004528AF">
        <w:t>24</w:t>
      </w:r>
      <w:r w:rsidR="004528AF" w:rsidRPr="00630CB1">
        <w:t xml:space="preserve"> г. в сумме </w:t>
      </w:r>
      <w:r w:rsidR="009A5330">
        <w:t>371,2</w:t>
      </w:r>
      <w:r w:rsidR="004528AF">
        <w:t xml:space="preserve"> </w:t>
      </w:r>
      <w:r w:rsidR="004528AF" w:rsidRPr="00630CB1">
        <w:t xml:space="preserve">тыс.руб., с </w:t>
      </w:r>
      <w:r w:rsidR="009A5330">
        <w:t>ростом</w:t>
      </w:r>
      <w:r w:rsidR="004528AF" w:rsidRPr="00630CB1">
        <w:t xml:space="preserve"> на </w:t>
      </w:r>
      <w:r w:rsidR="009A5330">
        <w:t>232,7</w:t>
      </w:r>
      <w:r w:rsidR="004528AF" w:rsidRPr="00630CB1">
        <w:t xml:space="preserve"> тыс. руб. (</w:t>
      </w:r>
      <w:r w:rsidR="009A5330">
        <w:t>более чем в 2,6 раза</w:t>
      </w:r>
      <w:r w:rsidR="004528AF" w:rsidRPr="00630CB1">
        <w:t>) к оценке исполнения 20</w:t>
      </w:r>
      <w:r w:rsidR="004528AF">
        <w:t>23</w:t>
      </w:r>
      <w:r w:rsidR="004528AF" w:rsidRPr="00630CB1">
        <w:t xml:space="preserve"> год</w:t>
      </w:r>
      <w:r w:rsidR="004528AF">
        <w:t>а, их доля</w:t>
      </w:r>
      <w:r w:rsidR="004528AF" w:rsidRPr="00630CB1">
        <w:t xml:space="preserve"> составля</w:t>
      </w:r>
      <w:r w:rsidR="004528AF">
        <w:t>е</w:t>
      </w:r>
      <w:r w:rsidR="004528AF" w:rsidRPr="00630CB1">
        <w:t xml:space="preserve">т </w:t>
      </w:r>
      <w:r w:rsidR="009A5330">
        <w:t>5,5</w:t>
      </w:r>
      <w:r w:rsidR="004528AF" w:rsidRPr="00630CB1">
        <w:t>% от общей суммы расходов местного бюджета на 20</w:t>
      </w:r>
      <w:r w:rsidR="004528AF">
        <w:t>2</w:t>
      </w:r>
      <w:r w:rsidR="002F64ED">
        <w:t>4</w:t>
      </w:r>
      <w:r w:rsidR="004528AF" w:rsidRPr="00630CB1">
        <w:t xml:space="preserve"> год. Расходы на 202</w:t>
      </w:r>
      <w:r w:rsidR="002F64ED">
        <w:t>5</w:t>
      </w:r>
      <w:r w:rsidR="004528AF">
        <w:t>-202</w:t>
      </w:r>
      <w:r w:rsidR="002F64ED">
        <w:t>6</w:t>
      </w:r>
      <w:r w:rsidR="004528AF" w:rsidRPr="00630CB1">
        <w:t xml:space="preserve"> год</w:t>
      </w:r>
      <w:r w:rsidR="004528AF">
        <w:t>ы</w:t>
      </w:r>
      <w:r w:rsidR="004528AF" w:rsidRPr="00630CB1">
        <w:t xml:space="preserve"> установлены в сумме </w:t>
      </w:r>
      <w:r w:rsidR="009A5330">
        <w:t>363,2</w:t>
      </w:r>
      <w:r w:rsidR="004528AF" w:rsidRPr="00630CB1">
        <w:t xml:space="preserve"> тыс. руб.</w:t>
      </w:r>
      <w:r w:rsidR="004528AF">
        <w:t xml:space="preserve"> и </w:t>
      </w:r>
      <w:r w:rsidR="009A5330">
        <w:t>348,2</w:t>
      </w:r>
      <w:r w:rsidR="004528AF">
        <w:t xml:space="preserve"> тыс. руб.</w:t>
      </w:r>
      <w:r w:rsidR="004528AF" w:rsidRPr="00630CB1">
        <w:t xml:space="preserve">, </w:t>
      </w:r>
      <w:r w:rsidR="004528AF">
        <w:t>соответственно</w:t>
      </w:r>
      <w:r w:rsidR="004528AF" w:rsidRPr="00630CB1">
        <w:t>.</w:t>
      </w:r>
    </w:p>
    <w:p w:rsidR="004528AF" w:rsidRPr="00C2259B" w:rsidRDefault="004528AF" w:rsidP="002F64ED">
      <w:pPr>
        <w:autoSpaceDE w:val="0"/>
        <w:autoSpaceDN w:val="0"/>
        <w:adjustRightInd w:val="0"/>
        <w:ind w:firstLine="567"/>
        <w:jc w:val="both"/>
      </w:pPr>
      <w:r w:rsidRPr="00630CB1">
        <w:t xml:space="preserve">Расходы </w:t>
      </w:r>
      <w:r w:rsidR="009A5330">
        <w:t xml:space="preserve">на 2024-2026 годы </w:t>
      </w:r>
      <w:r>
        <w:t>установлены</w:t>
      </w:r>
      <w:r w:rsidRPr="00630CB1">
        <w:t xml:space="preserve"> в </w:t>
      </w:r>
      <w:r>
        <w:t>целях</w:t>
      </w:r>
      <w:r w:rsidRPr="00630CB1">
        <w:t xml:space="preserve"> </w:t>
      </w:r>
      <w:r w:rsidR="002F64ED">
        <w:t>благоустройства</w:t>
      </w:r>
      <w:r w:rsidR="009A5330">
        <w:t xml:space="preserve"> (реализация мероприятий перечня проектов народных инициатив в сумме 306,2 тыс. руб.</w:t>
      </w:r>
      <w:r w:rsidR="00145549">
        <w:t>, ежегодно, в том числе за счет средств областного бюджета в сумме 300 тыс. руб., средств бюджета Усть-Илгинского МО в сумме 6,2 тыс. руб.)</w:t>
      </w:r>
      <w:r w:rsidR="002F64ED">
        <w:t>, уличного освещения, содержания мест захоронения.</w:t>
      </w:r>
    </w:p>
    <w:p w:rsidR="00973EAE" w:rsidRDefault="0017693E" w:rsidP="00973EAE">
      <w:pPr>
        <w:autoSpaceDE w:val="0"/>
        <w:autoSpaceDN w:val="0"/>
        <w:adjustRightInd w:val="0"/>
        <w:ind w:firstLine="567"/>
        <w:jc w:val="both"/>
      </w:pPr>
      <w:r w:rsidRPr="0017693E">
        <w:t>В проекте бюджета на 20</w:t>
      </w:r>
      <w:r w:rsidR="000E6383">
        <w:t>2</w:t>
      </w:r>
      <w:r w:rsidR="003B57A1">
        <w:t>4</w:t>
      </w:r>
      <w:r w:rsidRPr="0017693E">
        <w:t xml:space="preserve"> г.</w:t>
      </w:r>
      <w:r w:rsidRPr="0017693E">
        <w:rPr>
          <w:i/>
        </w:rPr>
        <w:t xml:space="preserve">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735506">
        <w:t>1140</w:t>
      </w:r>
      <w:r w:rsidRPr="00096BA2">
        <w:t xml:space="preserve"> тыс.руб., с</w:t>
      </w:r>
      <w:r w:rsidR="00EB1D50">
        <w:t>о</w:t>
      </w:r>
      <w:r w:rsidRPr="00096BA2">
        <w:t xml:space="preserve"> </w:t>
      </w:r>
      <w:r w:rsidR="00EB1D50">
        <w:t>снижением</w:t>
      </w:r>
      <w:r w:rsidRPr="00096BA2">
        <w:t xml:space="preserve"> к уровню ожидаемого исполнения расходов 20</w:t>
      </w:r>
      <w:r w:rsidR="00732BBC">
        <w:t>2</w:t>
      </w:r>
      <w:r w:rsidR="003B57A1">
        <w:t>3</w:t>
      </w:r>
      <w:r w:rsidRPr="00096BA2">
        <w:t xml:space="preserve">г. на </w:t>
      </w:r>
      <w:r w:rsidR="00735506">
        <w:t>1109,4</w:t>
      </w:r>
      <w:r w:rsidRPr="00096BA2">
        <w:t xml:space="preserve"> тыс.руб. (</w:t>
      </w:r>
      <w:r w:rsidR="00EB1D50">
        <w:t>-</w:t>
      </w:r>
      <w:r w:rsidR="00735506">
        <w:t>49,3</w:t>
      </w:r>
      <w:r w:rsidRPr="00096BA2">
        <w:t xml:space="preserve">%). </w:t>
      </w:r>
      <w:r w:rsidR="00A640D0">
        <w:t>Расходы на 202</w:t>
      </w:r>
      <w:r w:rsidR="003B57A1">
        <w:t>5</w:t>
      </w:r>
      <w:r w:rsidR="00A640D0">
        <w:t>-202</w:t>
      </w:r>
      <w:r w:rsidR="003B57A1">
        <w:t>6</w:t>
      </w:r>
      <w:r w:rsidR="00A640D0">
        <w:t xml:space="preserve"> годы установлены в сумме </w:t>
      </w:r>
      <w:r w:rsidR="00735506">
        <w:t>1149,5</w:t>
      </w:r>
      <w:r w:rsidR="00A640D0">
        <w:t xml:space="preserve"> тыс. руб. и </w:t>
      </w:r>
      <w:r w:rsidR="00735506">
        <w:t>1134,9</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735506">
        <w:t>16,8</w:t>
      </w:r>
      <w:r w:rsidRPr="00895EC4">
        <w:t xml:space="preserve">% от общей суммы расходов </w:t>
      </w:r>
      <w:r>
        <w:t>местного</w:t>
      </w:r>
      <w:r w:rsidRPr="00895EC4">
        <w:t xml:space="preserve"> бюджета на 20</w:t>
      </w:r>
      <w:r w:rsidR="000E6383">
        <w:t>2</w:t>
      </w:r>
      <w:r w:rsidR="003B57A1">
        <w:t>4</w:t>
      </w:r>
      <w:r w:rsidRPr="00895EC4">
        <w:t xml:space="preserve"> г</w:t>
      </w:r>
      <w:r>
        <w:t>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67D8A">
        <w:t>4</w:t>
      </w:r>
      <w:r w:rsidR="00340449">
        <w:t>г.</w:t>
      </w:r>
      <w:r w:rsidR="00340449" w:rsidRPr="00895EC4">
        <w:t xml:space="preserve"> в сумме </w:t>
      </w:r>
      <w:r w:rsidR="00967D8A">
        <w:t>1067,6</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67D8A">
        <w:t>3</w:t>
      </w:r>
      <w:r w:rsidR="00340449">
        <w:t xml:space="preserve">г. на </w:t>
      </w:r>
      <w:r w:rsidR="00967D8A">
        <w:t>70,7</w:t>
      </w:r>
      <w:r w:rsidR="003E49A2">
        <w:t xml:space="preserve"> тыс.руб. (+</w:t>
      </w:r>
      <w:r w:rsidR="00967D8A">
        <w:t>7,1</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67D8A">
        <w:t>8</w:t>
      </w:r>
      <w:r w:rsidR="00EF7B11">
        <w:t>77</w:t>
      </w:r>
      <w:r w:rsidR="00967D8A">
        <w:t>,1</w:t>
      </w:r>
      <w:r w:rsidR="005178DC">
        <w:t xml:space="preserve"> </w:t>
      </w:r>
      <w:r w:rsidR="00335D6E">
        <w:t>тыс. руб</w:t>
      </w:r>
      <w:r w:rsidR="005178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967D8A">
        <w:t>1068,9</w:t>
      </w:r>
      <w:r>
        <w:t xml:space="preserve"> тыс. руб. и </w:t>
      </w:r>
      <w:r w:rsidR="00967D8A">
        <w:t>1072,5</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735506">
        <w:t>15,7</w:t>
      </w:r>
      <w:r w:rsidRPr="00895EC4">
        <w:t xml:space="preserve">% от общей суммы расходов </w:t>
      </w:r>
      <w:r>
        <w:t>местного</w:t>
      </w:r>
      <w:r w:rsidRPr="00895EC4">
        <w:t xml:space="preserve"> бюджета на 20</w:t>
      </w:r>
      <w:r w:rsidR="00E775EA">
        <w:t>2</w:t>
      </w:r>
      <w:r w:rsidR="00967D8A">
        <w:t>4</w:t>
      </w:r>
      <w:r w:rsidRPr="00895EC4">
        <w:t xml:space="preserve"> г</w:t>
      </w:r>
      <w:r>
        <w:t>од.</w:t>
      </w:r>
    </w:p>
    <w:p w:rsidR="00BB130B" w:rsidRDefault="00BB130B" w:rsidP="00C91429">
      <w:pPr>
        <w:widowControl w:val="0"/>
        <w:numPr>
          <w:ilvl w:val="12"/>
          <w:numId w:val="0"/>
        </w:numPr>
        <w:ind w:firstLine="720"/>
        <w:jc w:val="center"/>
      </w:pPr>
    </w:p>
    <w:p w:rsidR="000F236F" w:rsidRDefault="000F236F"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8E36BB" w:rsidRDefault="008E36BB" w:rsidP="00C91429">
      <w:pPr>
        <w:widowControl w:val="0"/>
        <w:numPr>
          <w:ilvl w:val="12"/>
          <w:numId w:val="0"/>
        </w:numPr>
        <w:ind w:firstLine="720"/>
        <w:jc w:val="center"/>
      </w:pP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lastRenderedPageBreak/>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AC241A">
        <w:rPr>
          <w:rFonts w:ascii="Times New Roman" w:hAnsi="Times New Roman"/>
          <w:bCs/>
          <w:sz w:val="24"/>
          <w:szCs w:val="24"/>
        </w:rPr>
        <w:t>Усть-Илгинского</w:t>
      </w:r>
      <w:r w:rsidR="00C93EEC" w:rsidRPr="006D09CC">
        <w:rPr>
          <w:rFonts w:ascii="Times New Roman" w:hAnsi="Times New Roman"/>
          <w:bCs/>
          <w:sz w:val="24"/>
          <w:szCs w:val="24"/>
        </w:rPr>
        <w:t xml:space="preserve">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EF4BF8">
        <w:rPr>
          <w:rFonts w:ascii="Times New Roman" w:hAnsi="Times New Roman"/>
          <w:bCs/>
          <w:sz w:val="24"/>
          <w:szCs w:val="24"/>
        </w:rPr>
        <w:t>5</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EF4BF8">
        <w:rPr>
          <w:rFonts w:ascii="Times New Roman" w:hAnsi="Times New Roman"/>
          <w:bCs/>
          <w:sz w:val="24"/>
          <w:szCs w:val="24"/>
        </w:rPr>
        <w:t>1</w:t>
      </w:r>
      <w:r w:rsidR="00894977">
        <w:rPr>
          <w:rFonts w:ascii="Times New Roman" w:hAnsi="Times New Roman"/>
          <w:bCs/>
          <w:sz w:val="24"/>
          <w:szCs w:val="24"/>
        </w:rPr>
        <w:t>12</w:t>
      </w:r>
      <w:r w:rsidR="00C93EEC" w:rsidRPr="006D09CC">
        <w:rPr>
          <w:rFonts w:ascii="Times New Roman" w:hAnsi="Times New Roman"/>
          <w:bCs/>
          <w:sz w:val="24"/>
          <w:szCs w:val="24"/>
        </w:rPr>
        <w:t>).</w:t>
      </w:r>
    </w:p>
    <w:p w:rsid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Перечень и содержание документов, представленных одновременно с </w:t>
      </w:r>
      <w:r w:rsidR="00EF4BF8" w:rsidRPr="00EF4BF8">
        <w:rPr>
          <w:rFonts w:ascii="Times New Roman" w:hAnsi="Times New Roman"/>
          <w:sz w:val="24"/>
          <w:szCs w:val="24"/>
        </w:rPr>
        <w:t>п</w:t>
      </w:r>
      <w:r w:rsidRPr="00EF4BF8">
        <w:rPr>
          <w:rFonts w:ascii="Times New Roman" w:hAnsi="Times New Roman"/>
          <w:sz w:val="24"/>
          <w:szCs w:val="24"/>
        </w:rPr>
        <w:t xml:space="preserve">роектом бюджета, по своему составу и содержанию соответствуют требованиям ст. 184.2 БК РФ. </w:t>
      </w:r>
    </w:p>
    <w:p w:rsidR="00C93EEC" w:rsidRP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7A3812" w:rsidRPr="007A3812" w:rsidRDefault="00C93EEC" w:rsidP="00EF4BF8">
      <w:pPr>
        <w:pStyle w:val="af4"/>
        <w:numPr>
          <w:ilvl w:val="0"/>
          <w:numId w:val="15"/>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sidR="00EF4BF8">
        <w:rPr>
          <w:rFonts w:ascii="Times New Roman" w:hAnsi="Times New Roman"/>
          <w:sz w:val="24"/>
          <w:szCs w:val="24"/>
        </w:rPr>
        <w:t>п</w:t>
      </w:r>
      <w:r w:rsidRPr="006D09CC">
        <w:rPr>
          <w:rFonts w:ascii="Times New Roman" w:hAnsi="Times New Roman"/>
          <w:sz w:val="24"/>
          <w:szCs w:val="24"/>
        </w:rPr>
        <w:t>роекта бюджета</w:t>
      </w:r>
      <w:r w:rsidR="00EF4BF8" w:rsidRPr="00EF4BF8">
        <w:rPr>
          <w:rFonts w:ascii="Times New Roman" w:hAnsi="Times New Roman"/>
          <w:sz w:val="24"/>
          <w:szCs w:val="24"/>
        </w:rPr>
        <w:t xml:space="preserve"> </w:t>
      </w:r>
      <w:r w:rsidR="00EF4BF8">
        <w:rPr>
          <w:rFonts w:ascii="Times New Roman" w:hAnsi="Times New Roman"/>
          <w:sz w:val="24"/>
          <w:szCs w:val="24"/>
        </w:rPr>
        <w:t>(</w:t>
      </w:r>
      <w:r w:rsidR="00EF4BF8" w:rsidRPr="006D09CC">
        <w:rPr>
          <w:rFonts w:ascii="Times New Roman" w:hAnsi="Times New Roman"/>
          <w:sz w:val="24"/>
          <w:szCs w:val="24"/>
        </w:rPr>
        <w:t>общий объем доходов, общий объем расходов, дефицит бюджета</w:t>
      </w:r>
      <w:r w:rsidR="00EF4BF8">
        <w:rPr>
          <w:rFonts w:ascii="Times New Roman" w:hAnsi="Times New Roman"/>
          <w:sz w:val="24"/>
          <w:szCs w:val="24"/>
        </w:rPr>
        <w:t>)</w:t>
      </w:r>
      <w:r w:rsidRPr="006D09CC">
        <w:rPr>
          <w:rFonts w:ascii="Times New Roman" w:hAnsi="Times New Roman"/>
          <w:sz w:val="24"/>
          <w:szCs w:val="24"/>
        </w:rPr>
        <w:t xml:space="preserve"> </w:t>
      </w:r>
      <w:r w:rsidR="00EF4BF8">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sidR="007A3812">
        <w:rPr>
          <w:rFonts w:ascii="Times New Roman" w:hAnsi="Times New Roman"/>
          <w:sz w:val="24"/>
          <w:szCs w:val="24"/>
        </w:rPr>
        <w:t>.</w:t>
      </w:r>
    </w:p>
    <w:p w:rsidR="007A3812" w:rsidRPr="007A3812" w:rsidRDefault="007A3812" w:rsidP="00EF4BF8">
      <w:pPr>
        <w:pStyle w:val="af4"/>
        <w:numPr>
          <w:ilvl w:val="0"/>
          <w:numId w:val="15"/>
        </w:numPr>
        <w:spacing w:after="0" w:line="240" w:lineRule="auto"/>
        <w:ind w:left="0" w:firstLine="709"/>
        <w:jc w:val="both"/>
        <w:rPr>
          <w:rFonts w:ascii="Times New Roman" w:hAnsi="Times New Roman"/>
          <w:bCs/>
          <w:sz w:val="24"/>
          <w:szCs w:val="24"/>
        </w:rPr>
      </w:pPr>
      <w:r w:rsidRPr="007A3812">
        <w:rPr>
          <w:rFonts w:ascii="Times New Roman" w:hAnsi="Times New Roman"/>
          <w:sz w:val="24"/>
          <w:szCs w:val="24"/>
        </w:rPr>
        <w:t>Объем безвозмездных поступлений в проекте решения Думы «</w:t>
      </w:r>
      <w:r w:rsidRPr="007A3812">
        <w:rPr>
          <w:rFonts w:ascii="Times New Roman" w:eastAsia="TimesNewRomanPSMT" w:hAnsi="Times New Roman"/>
          <w:sz w:val="24"/>
          <w:szCs w:val="24"/>
        </w:rPr>
        <w:t xml:space="preserve">О бюджете </w:t>
      </w:r>
      <w:r w:rsidR="00AC241A">
        <w:rPr>
          <w:rFonts w:ascii="Times New Roman" w:hAnsi="Times New Roman"/>
          <w:sz w:val="24"/>
          <w:szCs w:val="24"/>
        </w:rPr>
        <w:t>Усть-Илгинского</w:t>
      </w:r>
      <w:r w:rsidRPr="007A3812">
        <w:rPr>
          <w:rFonts w:ascii="Times New Roman" w:hAnsi="Times New Roman"/>
          <w:sz w:val="24"/>
          <w:szCs w:val="24"/>
        </w:rPr>
        <w:t xml:space="preserve"> муниципального образования</w:t>
      </w:r>
      <w:r w:rsidRPr="007A3812">
        <w:rPr>
          <w:rFonts w:ascii="Times New Roman" w:eastAsia="TimesNewRomanPSMT" w:hAnsi="Times New Roman"/>
          <w:sz w:val="24"/>
          <w:szCs w:val="24"/>
        </w:rPr>
        <w:t xml:space="preserve"> </w:t>
      </w:r>
      <w:r w:rsidRPr="007A3812">
        <w:rPr>
          <w:rFonts w:ascii="Times New Roman" w:hAnsi="Times New Roman"/>
          <w:sz w:val="24"/>
          <w:szCs w:val="24"/>
        </w:rPr>
        <w:t>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предусмотрен в соответствии с проектом Закона Иркутской области «Об областном бюджете на 202</w:t>
      </w:r>
      <w:r>
        <w:rPr>
          <w:rFonts w:ascii="Times New Roman" w:hAnsi="Times New Roman"/>
          <w:sz w:val="24"/>
          <w:szCs w:val="24"/>
        </w:rPr>
        <w:t>4</w:t>
      </w:r>
      <w:r w:rsidRPr="007A3812">
        <w:rPr>
          <w:rFonts w:ascii="Times New Roman" w:hAnsi="Times New Roman"/>
          <w:sz w:val="24"/>
          <w:szCs w:val="24"/>
        </w:rPr>
        <w:t xml:space="preserve"> год и на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проекта решения Думы муниципального образования «Жигаловский район» «О бюджете муниципального образования «Жигаловский район» 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w:t>
      </w:r>
      <w:r>
        <w:rPr>
          <w:rFonts w:ascii="Times New Roman" w:hAnsi="Times New Roman"/>
          <w:sz w:val="24"/>
          <w:szCs w:val="24"/>
        </w:rPr>
        <w:t>.</w:t>
      </w:r>
    </w:p>
    <w:p w:rsidR="00894977" w:rsidRPr="008968ED" w:rsidRDefault="00C93EEC" w:rsidP="008968ED">
      <w:pPr>
        <w:pStyle w:val="af4"/>
        <w:numPr>
          <w:ilvl w:val="0"/>
          <w:numId w:val="15"/>
        </w:numPr>
        <w:tabs>
          <w:tab w:val="left" w:pos="993"/>
        </w:tabs>
        <w:spacing w:after="0" w:line="240" w:lineRule="auto"/>
        <w:ind w:left="0" w:firstLine="709"/>
        <w:jc w:val="both"/>
        <w:rPr>
          <w:rFonts w:ascii="Times New Roman" w:hAnsi="Times New Roman"/>
          <w:sz w:val="24"/>
          <w:szCs w:val="24"/>
        </w:rPr>
      </w:pPr>
      <w:r w:rsidRPr="008968ED">
        <w:rPr>
          <w:rFonts w:ascii="Times New Roman" w:hAnsi="Times New Roman"/>
          <w:sz w:val="24"/>
          <w:szCs w:val="24"/>
        </w:rPr>
        <w:t xml:space="preserve"> </w:t>
      </w:r>
      <w:r w:rsidR="007A3812" w:rsidRPr="008968ED">
        <w:rPr>
          <w:rFonts w:ascii="Times New Roman" w:hAnsi="Times New Roman"/>
          <w:sz w:val="24"/>
          <w:szCs w:val="24"/>
        </w:rPr>
        <w:t xml:space="preserve">Реестр источников доходов бюджета </w:t>
      </w:r>
      <w:r w:rsidR="00AC241A" w:rsidRPr="008968ED">
        <w:rPr>
          <w:rFonts w:ascii="Times New Roman" w:hAnsi="Times New Roman"/>
          <w:sz w:val="24"/>
          <w:szCs w:val="24"/>
        </w:rPr>
        <w:t>Усть-Илгинского</w:t>
      </w:r>
      <w:r w:rsidR="007A3812" w:rsidRPr="008968ED">
        <w:rPr>
          <w:rFonts w:ascii="Times New Roman" w:hAnsi="Times New Roman"/>
          <w:sz w:val="24"/>
          <w:szCs w:val="24"/>
        </w:rPr>
        <w:t xml:space="preserve"> сельского поселения на 2024 год и плановый период 2025 и 2026 годов</w:t>
      </w:r>
      <w:r w:rsidR="008968ED">
        <w:rPr>
          <w:rFonts w:ascii="Times New Roman" w:hAnsi="Times New Roman"/>
          <w:sz w:val="24"/>
          <w:szCs w:val="24"/>
        </w:rPr>
        <w:t xml:space="preserve"> требуется привести в соответствие</w:t>
      </w:r>
      <w:r w:rsidR="00894977" w:rsidRPr="008968ED">
        <w:rPr>
          <w:rFonts w:ascii="Times New Roman" w:hAnsi="Times New Roman"/>
          <w:sz w:val="24"/>
          <w:szCs w:val="24"/>
        </w:rPr>
        <w:t>:</w:t>
      </w:r>
    </w:p>
    <w:p w:rsidR="00894977" w:rsidRPr="00B40352" w:rsidRDefault="00894977" w:rsidP="008968ED">
      <w:pPr>
        <w:pStyle w:val="af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A3812" w:rsidRPr="007A3812">
        <w:rPr>
          <w:rFonts w:ascii="Times New Roman" w:hAnsi="Times New Roman"/>
          <w:sz w:val="24"/>
          <w:szCs w:val="24"/>
        </w:rPr>
        <w:t xml:space="preserve">не верно установлен норматив зачислений в местный бюджет по акцизам по </w:t>
      </w:r>
      <w:r w:rsidR="007A3812" w:rsidRPr="00B40352">
        <w:rPr>
          <w:rFonts w:ascii="Times New Roman" w:hAnsi="Times New Roman"/>
          <w:sz w:val="24"/>
          <w:szCs w:val="24"/>
        </w:rPr>
        <w:t>подакцизным товарам (продукции), производимым на территории Российской Федерации (КБК 100 1 03 02000 01 0000 110)</w:t>
      </w:r>
      <w:r w:rsidR="00B40352">
        <w:rPr>
          <w:rFonts w:ascii="Times New Roman" w:hAnsi="Times New Roman"/>
          <w:sz w:val="24"/>
          <w:szCs w:val="24"/>
        </w:rPr>
        <w:t>;</w:t>
      </w:r>
      <w:r w:rsidR="001F19E3" w:rsidRPr="00B40352">
        <w:rPr>
          <w:rFonts w:ascii="Times New Roman" w:hAnsi="Times New Roman"/>
          <w:sz w:val="24"/>
          <w:szCs w:val="24"/>
        </w:rPr>
        <w:t xml:space="preserve"> </w:t>
      </w:r>
    </w:p>
    <w:p w:rsidR="008968ED" w:rsidRPr="00B40352" w:rsidRDefault="00894977" w:rsidP="008968ED">
      <w:pPr>
        <w:pStyle w:val="af2"/>
        <w:tabs>
          <w:tab w:val="left" w:pos="993"/>
        </w:tabs>
        <w:ind w:firstLine="709"/>
        <w:jc w:val="both"/>
        <w:rPr>
          <w:rFonts w:ascii="Times New Roman" w:hAnsi="Times New Roman" w:cs="Times New Roman"/>
        </w:rPr>
      </w:pPr>
      <w:r w:rsidRPr="00B40352">
        <w:rPr>
          <w:rFonts w:ascii="Times New Roman" w:hAnsi="Times New Roman" w:cs="Times New Roman"/>
        </w:rPr>
        <w:t>-</w:t>
      </w:r>
      <w:r w:rsidR="008968ED" w:rsidRPr="00B40352">
        <w:rPr>
          <w:rFonts w:ascii="Times New Roman" w:hAnsi="Times New Roman" w:cs="Times New Roman"/>
        </w:rPr>
        <w:t xml:space="preserve"> в столбце 2 таблицы в наименовании заголовка «Норматив зачислений в местный бюджет на 2021 год в %» не верно указан год «2021», следует изменить на «2024», либо исключить словосочетание «на 2021 год»;</w:t>
      </w:r>
    </w:p>
    <w:p w:rsidR="008968ED" w:rsidRPr="00B40352" w:rsidRDefault="008968ED" w:rsidP="008968ED">
      <w:pPr>
        <w:pStyle w:val="af2"/>
        <w:tabs>
          <w:tab w:val="left" w:pos="993"/>
        </w:tabs>
        <w:ind w:firstLine="709"/>
        <w:jc w:val="both"/>
        <w:rPr>
          <w:rFonts w:ascii="Times New Roman" w:hAnsi="Times New Roman" w:cs="Times New Roman"/>
        </w:rPr>
      </w:pPr>
      <w:r w:rsidRPr="00B40352">
        <w:rPr>
          <w:rFonts w:ascii="Times New Roman" w:hAnsi="Times New Roman" w:cs="Times New Roman"/>
        </w:rPr>
        <w:t>- по КБК 91020200000000000000</w:t>
      </w:r>
      <w:r w:rsidRPr="00B40352">
        <w:rPr>
          <w:rFonts w:ascii="Times New Roman" w:hAnsi="Times New Roman" w:cs="Times New Roman"/>
          <w:color w:val="000000"/>
        </w:rPr>
        <w:t xml:space="preserve"> «</w:t>
      </w:r>
      <w:r w:rsidRPr="00B40352">
        <w:rPr>
          <w:rFonts w:ascii="Times New Roman" w:hAnsi="Times New Roman" w:cs="Times New Roman"/>
          <w:bCs/>
        </w:rPr>
        <w:t>БЕЗВОЗМЕЗДНЫЕ ПОСТУПЛЕНИЯ ОТ ДРУГИХ БЮДЖЕТОВ БЮДЖЕТНОЙ СИСТЕМЫ РОССИЙСКОЙ ФЕДЕРАЦИИ</w:t>
      </w:r>
      <w:r w:rsidRPr="00B40352">
        <w:rPr>
          <w:rFonts w:ascii="Times New Roman" w:hAnsi="Times New Roman" w:cs="Times New Roman"/>
          <w:color w:val="000000"/>
        </w:rPr>
        <w:t>» на 2024 год не верно установлен показатель «4616,5», следует изменить на показатель «6244,4»;</w:t>
      </w:r>
    </w:p>
    <w:p w:rsidR="008968ED" w:rsidRPr="00B40352" w:rsidRDefault="008968ED" w:rsidP="008968ED">
      <w:pPr>
        <w:pStyle w:val="af2"/>
        <w:tabs>
          <w:tab w:val="left" w:pos="993"/>
        </w:tabs>
        <w:ind w:firstLine="709"/>
        <w:jc w:val="both"/>
        <w:rPr>
          <w:rFonts w:ascii="Times New Roman" w:hAnsi="Times New Roman" w:cs="Times New Roman"/>
        </w:rPr>
      </w:pPr>
      <w:r w:rsidRPr="00B40352">
        <w:rPr>
          <w:rFonts w:ascii="Times New Roman" w:hAnsi="Times New Roman" w:cs="Times New Roman"/>
        </w:rPr>
        <w:t>- по КБК 91020216001100000150</w:t>
      </w:r>
      <w:r w:rsidRPr="00B40352">
        <w:rPr>
          <w:rFonts w:ascii="Times New Roman" w:hAnsi="Times New Roman" w:cs="Times New Roman"/>
          <w:color w:val="000000"/>
        </w:rPr>
        <w:t xml:space="preserve"> «</w:t>
      </w:r>
      <w:r w:rsidRPr="00B40352">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r w:rsidRPr="00B40352">
        <w:rPr>
          <w:rFonts w:ascii="Times New Roman" w:hAnsi="Times New Roman" w:cs="Times New Roman"/>
          <w:color w:val="000000"/>
        </w:rPr>
        <w:t>» на 2024 год не верно установлен показатель «4272,4», следует изменить на показатель «4720,8»</w:t>
      </w:r>
      <w:r w:rsidR="00B40352">
        <w:rPr>
          <w:rFonts w:ascii="Times New Roman" w:hAnsi="Times New Roman" w:cs="Times New Roman"/>
          <w:color w:val="000000"/>
        </w:rPr>
        <w:t>;</w:t>
      </w:r>
    </w:p>
    <w:p w:rsidR="008968ED" w:rsidRPr="00B40352" w:rsidRDefault="008968ED" w:rsidP="008968ED">
      <w:pPr>
        <w:pStyle w:val="af2"/>
        <w:tabs>
          <w:tab w:val="left" w:pos="993"/>
        </w:tabs>
        <w:ind w:firstLine="709"/>
        <w:jc w:val="both"/>
        <w:rPr>
          <w:rFonts w:ascii="Times New Roman" w:hAnsi="Times New Roman" w:cs="Times New Roman"/>
        </w:rPr>
      </w:pPr>
      <w:r w:rsidRPr="00B40352">
        <w:rPr>
          <w:rFonts w:ascii="Times New Roman" w:hAnsi="Times New Roman" w:cs="Times New Roman"/>
        </w:rPr>
        <w:t>- по КБК 91020235118100000150</w:t>
      </w:r>
      <w:r w:rsidRPr="00B40352">
        <w:rPr>
          <w:rFonts w:ascii="Times New Roman" w:hAnsi="Times New Roman" w:cs="Times New Roman"/>
          <w:color w:val="000000"/>
        </w:rPr>
        <w:t xml:space="preserve"> «</w:t>
      </w:r>
      <w:r w:rsidRPr="00B40352">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r w:rsidRPr="00B40352">
        <w:rPr>
          <w:rFonts w:ascii="Times New Roman" w:hAnsi="Times New Roman" w:cs="Times New Roman"/>
          <w:color w:val="000000"/>
        </w:rPr>
        <w:t>» на 2026 год не верно установлен показатель «143,4», следует изменить на показатель «182,7»</w:t>
      </w:r>
      <w:r w:rsidR="00B40352">
        <w:rPr>
          <w:rFonts w:ascii="Times New Roman" w:hAnsi="Times New Roman" w:cs="Times New Roman"/>
          <w:color w:val="000000"/>
        </w:rPr>
        <w:t>;</w:t>
      </w:r>
    </w:p>
    <w:p w:rsidR="008968ED" w:rsidRPr="00B40352" w:rsidRDefault="008968ED" w:rsidP="008968ED">
      <w:pPr>
        <w:pStyle w:val="af4"/>
        <w:tabs>
          <w:tab w:val="left" w:pos="993"/>
        </w:tabs>
        <w:spacing w:after="0" w:line="240" w:lineRule="auto"/>
        <w:ind w:left="0" w:firstLine="709"/>
        <w:jc w:val="both"/>
        <w:rPr>
          <w:rFonts w:ascii="Times New Roman" w:hAnsi="Times New Roman"/>
          <w:sz w:val="24"/>
          <w:szCs w:val="24"/>
        </w:rPr>
      </w:pPr>
      <w:r w:rsidRPr="00B40352">
        <w:rPr>
          <w:rFonts w:ascii="Times New Roman" w:hAnsi="Times New Roman"/>
          <w:sz w:val="24"/>
          <w:szCs w:val="24"/>
        </w:rPr>
        <w:t>- итоговый показатель «16999,9» в столбце 8 Реестра установлен не верно, следует изменить на показатель «17002,9».</w:t>
      </w:r>
    </w:p>
    <w:p w:rsidR="00894977" w:rsidRPr="00B40352" w:rsidRDefault="008968ED" w:rsidP="008968ED">
      <w:pPr>
        <w:pStyle w:val="af4"/>
        <w:tabs>
          <w:tab w:val="left" w:pos="993"/>
        </w:tabs>
        <w:spacing w:after="0" w:line="240" w:lineRule="auto"/>
        <w:ind w:left="0" w:firstLine="709"/>
        <w:jc w:val="both"/>
        <w:rPr>
          <w:rFonts w:ascii="Times New Roman" w:hAnsi="Times New Roman"/>
          <w:sz w:val="24"/>
          <w:szCs w:val="24"/>
        </w:rPr>
      </w:pPr>
      <w:r w:rsidRPr="00B40352">
        <w:rPr>
          <w:rFonts w:ascii="Times New Roman" w:hAnsi="Times New Roman"/>
          <w:sz w:val="24"/>
          <w:szCs w:val="24"/>
        </w:rPr>
        <w:t xml:space="preserve">8. </w:t>
      </w:r>
      <w:r w:rsidR="00894977" w:rsidRPr="00B40352">
        <w:rPr>
          <w:rFonts w:ascii="Times New Roman" w:hAnsi="Times New Roman"/>
          <w:sz w:val="24"/>
          <w:szCs w:val="24"/>
        </w:rPr>
        <w:t>Основные направления бюджетной и налоговой политики Усть-Илгинского муниципального образования на 2024 год и плановый период 2025 и 2026 годов не содержат итогов реализации в 2022 году и текущем периоде 2023 года.</w:t>
      </w:r>
    </w:p>
    <w:p w:rsidR="002A1BD2" w:rsidRPr="00B40352" w:rsidRDefault="008968ED" w:rsidP="008968ED">
      <w:pPr>
        <w:ind w:firstLine="709"/>
        <w:jc w:val="both"/>
      </w:pPr>
      <w:r w:rsidRPr="00B40352">
        <w:t xml:space="preserve">9. </w:t>
      </w:r>
      <w:r w:rsidR="002A1BD2" w:rsidRPr="00B40352">
        <w:t>Объемы финансирования в проекте бюджета не соответствуют объемам финансирования утвержденным паспортом муниципальной программы «Обеспечение пожарной безопасности на территории Усть-Илгинского сельского поселения на 2021-2024 годы».</w:t>
      </w:r>
    </w:p>
    <w:p w:rsidR="002A1BD2" w:rsidRPr="00BB130B" w:rsidRDefault="002A1BD2" w:rsidP="008968ED">
      <w:pPr>
        <w:pStyle w:val="af4"/>
        <w:tabs>
          <w:tab w:val="left" w:pos="993"/>
        </w:tabs>
        <w:spacing w:after="0" w:line="240" w:lineRule="auto"/>
        <w:ind w:left="1069"/>
        <w:jc w:val="both"/>
        <w:rPr>
          <w:rFonts w:ascii="Times New Roman" w:hAnsi="Times New Roman"/>
          <w:sz w:val="24"/>
          <w:szCs w:val="24"/>
        </w:rPr>
      </w:pPr>
    </w:p>
    <w:p w:rsidR="000C276D" w:rsidRPr="00521E70" w:rsidRDefault="000C276D" w:rsidP="000C276D">
      <w:pPr>
        <w:ind w:firstLine="709"/>
        <w:jc w:val="both"/>
      </w:pPr>
      <w:r w:rsidRPr="00521E70">
        <w:lastRenderedPageBreak/>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AC241A">
        <w:t>Усть-Илгинского</w:t>
      </w:r>
      <w:r>
        <w:t xml:space="preserve"> сельского поселения</w:t>
      </w:r>
      <w:r w:rsidRPr="00521E70">
        <w:t xml:space="preserve"> «О бюджете </w:t>
      </w:r>
      <w:r w:rsidR="00AC241A">
        <w:t>Усть-Илгинского</w:t>
      </w:r>
      <w:r>
        <w:t xml:space="preserve">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w:t>
      </w:r>
      <w:r w:rsidR="000F236F">
        <w:t xml:space="preserve">после устранения замечаний </w:t>
      </w:r>
      <w:r w:rsidRPr="00521E70">
        <w:t>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0F236F" w:rsidRDefault="000F236F" w:rsidP="00D43127">
      <w:pPr>
        <w:widowControl w:val="0"/>
        <w:jc w:val="both"/>
        <w:outlineLvl w:val="0"/>
      </w:pPr>
    </w:p>
    <w:p w:rsidR="000F236F" w:rsidRDefault="000F236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p w:rsidR="00D810D9" w:rsidRDefault="00D810D9" w:rsidP="00D810D9">
      <w:pPr>
        <w:widowControl w:val="0"/>
        <w:numPr>
          <w:ilvl w:val="12"/>
          <w:numId w:val="0"/>
        </w:numPr>
        <w:ind w:firstLine="720"/>
        <w:jc w:val="both"/>
      </w:pPr>
    </w:p>
    <w:sectPr w:rsidR="00D810D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25" w:rsidRDefault="00455225" w:rsidP="00645CD8">
      <w:r>
        <w:separator/>
      </w:r>
    </w:p>
  </w:endnote>
  <w:endnote w:type="continuationSeparator" w:id="0">
    <w:p w:rsidR="00455225" w:rsidRDefault="00455225"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25" w:rsidRDefault="00455225" w:rsidP="00645CD8">
      <w:r>
        <w:separator/>
      </w:r>
    </w:p>
  </w:footnote>
  <w:footnote w:type="continuationSeparator" w:id="0">
    <w:p w:rsidR="00455225" w:rsidRDefault="00455225"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F5" w:rsidRDefault="002A28F5"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2A28F5" w:rsidRDefault="002A28F5"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F5" w:rsidRDefault="002A28F5">
    <w:pPr>
      <w:pStyle w:val="aff2"/>
      <w:jc w:val="right"/>
    </w:pPr>
    <w:r>
      <w:fldChar w:fldCharType="begin"/>
    </w:r>
    <w:r>
      <w:instrText xml:space="preserve"> PAGE   \* MERGEFORMAT </w:instrText>
    </w:r>
    <w:r>
      <w:fldChar w:fldCharType="separate"/>
    </w:r>
    <w:r w:rsidR="005567CE">
      <w:rPr>
        <w:noProof/>
      </w:rPr>
      <w:t>15</w:t>
    </w:r>
    <w:r>
      <w:rPr>
        <w:noProof/>
      </w:rPr>
      <w:fldChar w:fldCharType="end"/>
    </w:r>
  </w:p>
  <w:p w:rsidR="002A28F5" w:rsidRDefault="002A28F5"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A1"/>
    <w:multiLevelType w:val="hybridMultilevel"/>
    <w:tmpl w:val="5818F886"/>
    <w:lvl w:ilvl="0" w:tplc="293EB4C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CE41C2F"/>
    <w:multiLevelType w:val="hybridMultilevel"/>
    <w:tmpl w:val="4148BB4E"/>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3"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2"/>
  </w:num>
  <w:num w:numId="2">
    <w:abstractNumId w:val="3"/>
  </w:num>
  <w:num w:numId="3">
    <w:abstractNumId w:val="4"/>
  </w:num>
  <w:num w:numId="4">
    <w:abstractNumId w:val="17"/>
  </w:num>
  <w:num w:numId="5">
    <w:abstractNumId w:val="7"/>
  </w:num>
  <w:num w:numId="6">
    <w:abstractNumId w:val="15"/>
  </w:num>
  <w:num w:numId="7">
    <w:abstractNumId w:val="14"/>
  </w:num>
  <w:num w:numId="8">
    <w:abstractNumId w:val="10"/>
  </w:num>
  <w:num w:numId="9">
    <w:abstractNumId w:val="5"/>
  </w:num>
  <w:num w:numId="10">
    <w:abstractNumId w:val="16"/>
  </w:num>
  <w:num w:numId="11">
    <w:abstractNumId w:val="9"/>
  </w:num>
  <w:num w:numId="12">
    <w:abstractNumId w:val="1"/>
  </w:num>
  <w:num w:numId="13">
    <w:abstractNumId w:val="11"/>
  </w:num>
  <w:num w:numId="14">
    <w:abstractNumId w:val="2"/>
  </w:num>
  <w:num w:numId="15">
    <w:abstractNumId w:val="6"/>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1996"/>
    <w:rsid w:val="00001FC2"/>
    <w:rsid w:val="00003139"/>
    <w:rsid w:val="00003977"/>
    <w:rsid w:val="00003DB8"/>
    <w:rsid w:val="000043C9"/>
    <w:rsid w:val="00004491"/>
    <w:rsid w:val="0000549E"/>
    <w:rsid w:val="00005F70"/>
    <w:rsid w:val="00007366"/>
    <w:rsid w:val="00007592"/>
    <w:rsid w:val="0001000E"/>
    <w:rsid w:val="00011277"/>
    <w:rsid w:val="00011EFF"/>
    <w:rsid w:val="0001292B"/>
    <w:rsid w:val="00014318"/>
    <w:rsid w:val="000144B6"/>
    <w:rsid w:val="000151C8"/>
    <w:rsid w:val="0001566C"/>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5FB"/>
    <w:rsid w:val="00045A16"/>
    <w:rsid w:val="00046618"/>
    <w:rsid w:val="00047FDB"/>
    <w:rsid w:val="00050193"/>
    <w:rsid w:val="0005107B"/>
    <w:rsid w:val="000512D3"/>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443"/>
    <w:rsid w:val="000618E7"/>
    <w:rsid w:val="000638C9"/>
    <w:rsid w:val="00063DA0"/>
    <w:rsid w:val="00064087"/>
    <w:rsid w:val="00064469"/>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87B05"/>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C76FA"/>
    <w:rsid w:val="000D047A"/>
    <w:rsid w:val="000D1B01"/>
    <w:rsid w:val="000D1B29"/>
    <w:rsid w:val="000D2357"/>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09C"/>
    <w:rsid w:val="000F043A"/>
    <w:rsid w:val="000F0924"/>
    <w:rsid w:val="000F098A"/>
    <w:rsid w:val="000F1547"/>
    <w:rsid w:val="000F236F"/>
    <w:rsid w:val="000F3260"/>
    <w:rsid w:val="000F3835"/>
    <w:rsid w:val="000F5B01"/>
    <w:rsid w:val="000F670B"/>
    <w:rsid w:val="000F675B"/>
    <w:rsid w:val="000F6ADD"/>
    <w:rsid w:val="000F74BC"/>
    <w:rsid w:val="000F76D5"/>
    <w:rsid w:val="000F7CB5"/>
    <w:rsid w:val="00100206"/>
    <w:rsid w:val="0010052A"/>
    <w:rsid w:val="00100B17"/>
    <w:rsid w:val="00101436"/>
    <w:rsid w:val="0010160B"/>
    <w:rsid w:val="00102252"/>
    <w:rsid w:val="0010338F"/>
    <w:rsid w:val="00104942"/>
    <w:rsid w:val="00105D7D"/>
    <w:rsid w:val="001060D0"/>
    <w:rsid w:val="00106464"/>
    <w:rsid w:val="00106633"/>
    <w:rsid w:val="0010697C"/>
    <w:rsid w:val="00106B5B"/>
    <w:rsid w:val="00110AA8"/>
    <w:rsid w:val="00111F72"/>
    <w:rsid w:val="0011233D"/>
    <w:rsid w:val="00113EB0"/>
    <w:rsid w:val="00114499"/>
    <w:rsid w:val="00114889"/>
    <w:rsid w:val="001156F8"/>
    <w:rsid w:val="001165A3"/>
    <w:rsid w:val="00120747"/>
    <w:rsid w:val="00120EEA"/>
    <w:rsid w:val="00120FE2"/>
    <w:rsid w:val="00121A65"/>
    <w:rsid w:val="001220E2"/>
    <w:rsid w:val="00123306"/>
    <w:rsid w:val="0012360F"/>
    <w:rsid w:val="00123F36"/>
    <w:rsid w:val="0012595F"/>
    <w:rsid w:val="0012608D"/>
    <w:rsid w:val="00126ADC"/>
    <w:rsid w:val="00126EAC"/>
    <w:rsid w:val="00127153"/>
    <w:rsid w:val="00127378"/>
    <w:rsid w:val="00130749"/>
    <w:rsid w:val="00130B92"/>
    <w:rsid w:val="001314D0"/>
    <w:rsid w:val="00131F0A"/>
    <w:rsid w:val="0013292B"/>
    <w:rsid w:val="00132A06"/>
    <w:rsid w:val="00133B5F"/>
    <w:rsid w:val="001350D1"/>
    <w:rsid w:val="00137DED"/>
    <w:rsid w:val="00137EE6"/>
    <w:rsid w:val="001401C4"/>
    <w:rsid w:val="001414DD"/>
    <w:rsid w:val="00141D36"/>
    <w:rsid w:val="00142983"/>
    <w:rsid w:val="001448E4"/>
    <w:rsid w:val="00144BFB"/>
    <w:rsid w:val="00145195"/>
    <w:rsid w:val="001452B2"/>
    <w:rsid w:val="00145549"/>
    <w:rsid w:val="0014598E"/>
    <w:rsid w:val="0014683F"/>
    <w:rsid w:val="00146C76"/>
    <w:rsid w:val="00147C34"/>
    <w:rsid w:val="001503D8"/>
    <w:rsid w:val="00151290"/>
    <w:rsid w:val="00151A3E"/>
    <w:rsid w:val="00151B04"/>
    <w:rsid w:val="00153712"/>
    <w:rsid w:val="00153859"/>
    <w:rsid w:val="00154740"/>
    <w:rsid w:val="00155180"/>
    <w:rsid w:val="001563EB"/>
    <w:rsid w:val="00156A14"/>
    <w:rsid w:val="00157C6E"/>
    <w:rsid w:val="00160D47"/>
    <w:rsid w:val="00160DF0"/>
    <w:rsid w:val="001627F0"/>
    <w:rsid w:val="00162C78"/>
    <w:rsid w:val="001630AF"/>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0F66"/>
    <w:rsid w:val="001710E1"/>
    <w:rsid w:val="00171264"/>
    <w:rsid w:val="00172085"/>
    <w:rsid w:val="00172D24"/>
    <w:rsid w:val="001732F2"/>
    <w:rsid w:val="00175538"/>
    <w:rsid w:val="001757B9"/>
    <w:rsid w:val="00175FFF"/>
    <w:rsid w:val="0017693E"/>
    <w:rsid w:val="00176CC0"/>
    <w:rsid w:val="00177E78"/>
    <w:rsid w:val="00181006"/>
    <w:rsid w:val="0018107B"/>
    <w:rsid w:val="00181A1C"/>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1FE2"/>
    <w:rsid w:val="00192DF0"/>
    <w:rsid w:val="0019316A"/>
    <w:rsid w:val="00193526"/>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249E"/>
    <w:rsid w:val="001C4041"/>
    <w:rsid w:val="001C5B13"/>
    <w:rsid w:val="001C5C36"/>
    <w:rsid w:val="001C7E90"/>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9E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85E"/>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A5"/>
    <w:rsid w:val="00245928"/>
    <w:rsid w:val="00247804"/>
    <w:rsid w:val="0025005C"/>
    <w:rsid w:val="0025092A"/>
    <w:rsid w:val="00250D6A"/>
    <w:rsid w:val="0025156A"/>
    <w:rsid w:val="00252C95"/>
    <w:rsid w:val="002535CC"/>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BF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1BD2"/>
    <w:rsid w:val="002A28F5"/>
    <w:rsid w:val="002A327E"/>
    <w:rsid w:val="002A388D"/>
    <w:rsid w:val="002A534E"/>
    <w:rsid w:val="002A6EE4"/>
    <w:rsid w:val="002A78BB"/>
    <w:rsid w:val="002A7EBC"/>
    <w:rsid w:val="002B0077"/>
    <w:rsid w:val="002B1E8B"/>
    <w:rsid w:val="002B3228"/>
    <w:rsid w:val="002B4DD4"/>
    <w:rsid w:val="002B524C"/>
    <w:rsid w:val="002B5339"/>
    <w:rsid w:val="002B5C8C"/>
    <w:rsid w:val="002B6228"/>
    <w:rsid w:val="002B637C"/>
    <w:rsid w:val="002B6469"/>
    <w:rsid w:val="002C0737"/>
    <w:rsid w:val="002C0E02"/>
    <w:rsid w:val="002C0FBC"/>
    <w:rsid w:val="002C1732"/>
    <w:rsid w:val="002C19C5"/>
    <w:rsid w:val="002C33A8"/>
    <w:rsid w:val="002C413E"/>
    <w:rsid w:val="002C41F6"/>
    <w:rsid w:val="002C4A19"/>
    <w:rsid w:val="002C4AC9"/>
    <w:rsid w:val="002C5BA2"/>
    <w:rsid w:val="002C638F"/>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872"/>
    <w:rsid w:val="002F3A19"/>
    <w:rsid w:val="002F3E33"/>
    <w:rsid w:val="002F49E8"/>
    <w:rsid w:val="002F4C3A"/>
    <w:rsid w:val="002F4E88"/>
    <w:rsid w:val="002F5030"/>
    <w:rsid w:val="002F64ED"/>
    <w:rsid w:val="002F6A04"/>
    <w:rsid w:val="002F7BAE"/>
    <w:rsid w:val="00300B89"/>
    <w:rsid w:val="00300BDD"/>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13F"/>
    <w:rsid w:val="003223C5"/>
    <w:rsid w:val="00324772"/>
    <w:rsid w:val="00325613"/>
    <w:rsid w:val="003260BE"/>
    <w:rsid w:val="0033010D"/>
    <w:rsid w:val="00331CFC"/>
    <w:rsid w:val="0033220F"/>
    <w:rsid w:val="003324C6"/>
    <w:rsid w:val="00332AAF"/>
    <w:rsid w:val="00335D6E"/>
    <w:rsid w:val="00336FA6"/>
    <w:rsid w:val="00340449"/>
    <w:rsid w:val="00340627"/>
    <w:rsid w:val="00340FCD"/>
    <w:rsid w:val="003412ED"/>
    <w:rsid w:val="003415F2"/>
    <w:rsid w:val="00341658"/>
    <w:rsid w:val="00341881"/>
    <w:rsid w:val="00341DED"/>
    <w:rsid w:val="003444E3"/>
    <w:rsid w:val="0034478D"/>
    <w:rsid w:val="0034491A"/>
    <w:rsid w:val="003459C9"/>
    <w:rsid w:val="00345EB5"/>
    <w:rsid w:val="003463C1"/>
    <w:rsid w:val="00346B6E"/>
    <w:rsid w:val="0034756B"/>
    <w:rsid w:val="003505DC"/>
    <w:rsid w:val="00352F8D"/>
    <w:rsid w:val="00353218"/>
    <w:rsid w:val="003536F9"/>
    <w:rsid w:val="00354A33"/>
    <w:rsid w:val="00354FBD"/>
    <w:rsid w:val="003558B0"/>
    <w:rsid w:val="00355FDE"/>
    <w:rsid w:val="00356D0B"/>
    <w:rsid w:val="003577BA"/>
    <w:rsid w:val="00357E2B"/>
    <w:rsid w:val="003610DB"/>
    <w:rsid w:val="00361741"/>
    <w:rsid w:val="003655A5"/>
    <w:rsid w:val="00365A84"/>
    <w:rsid w:val="00365BF4"/>
    <w:rsid w:val="00365F17"/>
    <w:rsid w:val="00366489"/>
    <w:rsid w:val="00367358"/>
    <w:rsid w:val="003679A3"/>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75F3"/>
    <w:rsid w:val="003D0B98"/>
    <w:rsid w:val="003D1268"/>
    <w:rsid w:val="003D1DDF"/>
    <w:rsid w:val="003D28D3"/>
    <w:rsid w:val="003D2D64"/>
    <w:rsid w:val="003D36BB"/>
    <w:rsid w:val="003D3DCF"/>
    <w:rsid w:val="003D51AD"/>
    <w:rsid w:val="003D5484"/>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2F0B"/>
    <w:rsid w:val="003F3669"/>
    <w:rsid w:val="003F3D6E"/>
    <w:rsid w:val="003F3E77"/>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480D"/>
    <w:rsid w:val="004159B9"/>
    <w:rsid w:val="004161B9"/>
    <w:rsid w:val="00416233"/>
    <w:rsid w:val="0041678D"/>
    <w:rsid w:val="00416E5B"/>
    <w:rsid w:val="00417057"/>
    <w:rsid w:val="00422BC3"/>
    <w:rsid w:val="00422EBE"/>
    <w:rsid w:val="00423A44"/>
    <w:rsid w:val="00424510"/>
    <w:rsid w:val="00424BC1"/>
    <w:rsid w:val="00424D8E"/>
    <w:rsid w:val="00424EC3"/>
    <w:rsid w:val="00425074"/>
    <w:rsid w:val="0042518B"/>
    <w:rsid w:val="004257DE"/>
    <w:rsid w:val="0042599D"/>
    <w:rsid w:val="00425F3C"/>
    <w:rsid w:val="00426071"/>
    <w:rsid w:val="004262B5"/>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3BC"/>
    <w:rsid w:val="004528AF"/>
    <w:rsid w:val="004530FA"/>
    <w:rsid w:val="00453A60"/>
    <w:rsid w:val="00453CC4"/>
    <w:rsid w:val="00455166"/>
    <w:rsid w:val="00455225"/>
    <w:rsid w:val="00455407"/>
    <w:rsid w:val="00455EF1"/>
    <w:rsid w:val="00455FD2"/>
    <w:rsid w:val="004566BF"/>
    <w:rsid w:val="004566ED"/>
    <w:rsid w:val="00457386"/>
    <w:rsid w:val="004575EE"/>
    <w:rsid w:val="00461CF0"/>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3A8A"/>
    <w:rsid w:val="00475183"/>
    <w:rsid w:val="004752A4"/>
    <w:rsid w:val="0047561B"/>
    <w:rsid w:val="00475A69"/>
    <w:rsid w:val="00475CBB"/>
    <w:rsid w:val="004766D2"/>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6DE"/>
    <w:rsid w:val="004B3C33"/>
    <w:rsid w:val="004B3D6B"/>
    <w:rsid w:val="004B45AC"/>
    <w:rsid w:val="004B477D"/>
    <w:rsid w:val="004B47DE"/>
    <w:rsid w:val="004B4967"/>
    <w:rsid w:val="004B5B5C"/>
    <w:rsid w:val="004B5CD2"/>
    <w:rsid w:val="004B6100"/>
    <w:rsid w:val="004B6DCF"/>
    <w:rsid w:val="004B712A"/>
    <w:rsid w:val="004C01D2"/>
    <w:rsid w:val="004C031E"/>
    <w:rsid w:val="004C1A40"/>
    <w:rsid w:val="004C2EA3"/>
    <w:rsid w:val="004C2F08"/>
    <w:rsid w:val="004C3045"/>
    <w:rsid w:val="004C4B59"/>
    <w:rsid w:val="004C600E"/>
    <w:rsid w:val="004C677F"/>
    <w:rsid w:val="004D0482"/>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0D3"/>
    <w:rsid w:val="004F05D6"/>
    <w:rsid w:val="004F063B"/>
    <w:rsid w:val="004F07CD"/>
    <w:rsid w:val="004F0A12"/>
    <w:rsid w:val="004F1A70"/>
    <w:rsid w:val="004F4091"/>
    <w:rsid w:val="004F53C8"/>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29F1"/>
    <w:rsid w:val="00513972"/>
    <w:rsid w:val="00514B2B"/>
    <w:rsid w:val="0051522B"/>
    <w:rsid w:val="005160A5"/>
    <w:rsid w:val="005174A6"/>
    <w:rsid w:val="005178DC"/>
    <w:rsid w:val="0052131D"/>
    <w:rsid w:val="00521AA6"/>
    <w:rsid w:val="00521DD3"/>
    <w:rsid w:val="00523166"/>
    <w:rsid w:val="00523BB5"/>
    <w:rsid w:val="00523EA5"/>
    <w:rsid w:val="00523F22"/>
    <w:rsid w:val="005240B4"/>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67CE"/>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1DD"/>
    <w:rsid w:val="005C5E39"/>
    <w:rsid w:val="005C6EBC"/>
    <w:rsid w:val="005D0294"/>
    <w:rsid w:val="005D1B99"/>
    <w:rsid w:val="005D1D37"/>
    <w:rsid w:val="005D2651"/>
    <w:rsid w:val="005D2957"/>
    <w:rsid w:val="005D2B37"/>
    <w:rsid w:val="005D3DB8"/>
    <w:rsid w:val="005D4863"/>
    <w:rsid w:val="005D51BA"/>
    <w:rsid w:val="005D5345"/>
    <w:rsid w:val="005D7371"/>
    <w:rsid w:val="005E06FA"/>
    <w:rsid w:val="005E0975"/>
    <w:rsid w:val="005E0D36"/>
    <w:rsid w:val="005E40CD"/>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5ABB"/>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4960"/>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EBE"/>
    <w:rsid w:val="00656F66"/>
    <w:rsid w:val="00657F6C"/>
    <w:rsid w:val="006609B0"/>
    <w:rsid w:val="00661429"/>
    <w:rsid w:val="00661CE8"/>
    <w:rsid w:val="006628FB"/>
    <w:rsid w:val="006639F0"/>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49E"/>
    <w:rsid w:val="00673E00"/>
    <w:rsid w:val="00674005"/>
    <w:rsid w:val="006750D3"/>
    <w:rsid w:val="0067517D"/>
    <w:rsid w:val="00680092"/>
    <w:rsid w:val="00680921"/>
    <w:rsid w:val="00681C8B"/>
    <w:rsid w:val="0068202D"/>
    <w:rsid w:val="00682202"/>
    <w:rsid w:val="00682E39"/>
    <w:rsid w:val="006836AF"/>
    <w:rsid w:val="006843F4"/>
    <w:rsid w:val="0068495A"/>
    <w:rsid w:val="00685027"/>
    <w:rsid w:val="00686034"/>
    <w:rsid w:val="006874B4"/>
    <w:rsid w:val="006876CF"/>
    <w:rsid w:val="00691A02"/>
    <w:rsid w:val="006923F7"/>
    <w:rsid w:val="00692C7A"/>
    <w:rsid w:val="00696934"/>
    <w:rsid w:val="00696C83"/>
    <w:rsid w:val="00697773"/>
    <w:rsid w:val="006A055E"/>
    <w:rsid w:val="006A1059"/>
    <w:rsid w:val="006A1AF5"/>
    <w:rsid w:val="006A2CB2"/>
    <w:rsid w:val="006A2E11"/>
    <w:rsid w:val="006A3DC9"/>
    <w:rsid w:val="006A4628"/>
    <w:rsid w:val="006A4746"/>
    <w:rsid w:val="006A66AE"/>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2B4B"/>
    <w:rsid w:val="006C3B52"/>
    <w:rsid w:val="006C441B"/>
    <w:rsid w:val="006C4871"/>
    <w:rsid w:val="006C4F1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D7F6F"/>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14A8"/>
    <w:rsid w:val="006F20D9"/>
    <w:rsid w:val="006F3079"/>
    <w:rsid w:val="006F3382"/>
    <w:rsid w:val="006F3C6A"/>
    <w:rsid w:val="006F3E60"/>
    <w:rsid w:val="006F5139"/>
    <w:rsid w:val="006F53B8"/>
    <w:rsid w:val="006F55A5"/>
    <w:rsid w:val="006F5F90"/>
    <w:rsid w:val="006F629B"/>
    <w:rsid w:val="006F70CD"/>
    <w:rsid w:val="00700EFF"/>
    <w:rsid w:val="0070115A"/>
    <w:rsid w:val="007013D9"/>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4DB7"/>
    <w:rsid w:val="007255F5"/>
    <w:rsid w:val="00725BA6"/>
    <w:rsid w:val="0072616A"/>
    <w:rsid w:val="00726658"/>
    <w:rsid w:val="00727BC0"/>
    <w:rsid w:val="00730098"/>
    <w:rsid w:val="00730856"/>
    <w:rsid w:val="00730FD0"/>
    <w:rsid w:val="00731178"/>
    <w:rsid w:val="00732055"/>
    <w:rsid w:val="00732BBC"/>
    <w:rsid w:val="00733DB8"/>
    <w:rsid w:val="007342C5"/>
    <w:rsid w:val="0073485F"/>
    <w:rsid w:val="00734A70"/>
    <w:rsid w:val="00734C10"/>
    <w:rsid w:val="00735506"/>
    <w:rsid w:val="00735DFC"/>
    <w:rsid w:val="00735EC6"/>
    <w:rsid w:val="00737C72"/>
    <w:rsid w:val="00740B4D"/>
    <w:rsid w:val="007413B9"/>
    <w:rsid w:val="007417E9"/>
    <w:rsid w:val="00744139"/>
    <w:rsid w:val="00744871"/>
    <w:rsid w:val="007450A5"/>
    <w:rsid w:val="0074537B"/>
    <w:rsid w:val="007456A6"/>
    <w:rsid w:val="00745D94"/>
    <w:rsid w:val="0074632E"/>
    <w:rsid w:val="007464B5"/>
    <w:rsid w:val="00747A28"/>
    <w:rsid w:val="00750B81"/>
    <w:rsid w:val="00750FE9"/>
    <w:rsid w:val="00752452"/>
    <w:rsid w:val="00754034"/>
    <w:rsid w:val="00754553"/>
    <w:rsid w:val="00755284"/>
    <w:rsid w:val="00757C44"/>
    <w:rsid w:val="0076038F"/>
    <w:rsid w:val="007622F7"/>
    <w:rsid w:val="00762F1D"/>
    <w:rsid w:val="007638EF"/>
    <w:rsid w:val="007639F9"/>
    <w:rsid w:val="00764545"/>
    <w:rsid w:val="00764986"/>
    <w:rsid w:val="0076623A"/>
    <w:rsid w:val="007664C9"/>
    <w:rsid w:val="00766B2B"/>
    <w:rsid w:val="00766D54"/>
    <w:rsid w:val="007719CB"/>
    <w:rsid w:val="0077200F"/>
    <w:rsid w:val="00772059"/>
    <w:rsid w:val="007723FC"/>
    <w:rsid w:val="00773BA2"/>
    <w:rsid w:val="00774056"/>
    <w:rsid w:val="007746F9"/>
    <w:rsid w:val="00774830"/>
    <w:rsid w:val="00774879"/>
    <w:rsid w:val="007748CA"/>
    <w:rsid w:val="00774D93"/>
    <w:rsid w:val="00775FF4"/>
    <w:rsid w:val="0077679C"/>
    <w:rsid w:val="00776870"/>
    <w:rsid w:val="00776CC4"/>
    <w:rsid w:val="007774BA"/>
    <w:rsid w:val="00777509"/>
    <w:rsid w:val="00781312"/>
    <w:rsid w:val="007813E7"/>
    <w:rsid w:val="00781773"/>
    <w:rsid w:val="00781CA8"/>
    <w:rsid w:val="007826B8"/>
    <w:rsid w:val="00783815"/>
    <w:rsid w:val="00783C54"/>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4C1F"/>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20B"/>
    <w:rsid w:val="007E28B8"/>
    <w:rsid w:val="007E2A34"/>
    <w:rsid w:val="007E2DC9"/>
    <w:rsid w:val="007E5C8A"/>
    <w:rsid w:val="007E6D2A"/>
    <w:rsid w:val="007F201D"/>
    <w:rsid w:val="007F209B"/>
    <w:rsid w:val="007F27C6"/>
    <w:rsid w:val="007F3091"/>
    <w:rsid w:val="007F46DD"/>
    <w:rsid w:val="007F4841"/>
    <w:rsid w:val="007F4FA1"/>
    <w:rsid w:val="007F542A"/>
    <w:rsid w:val="007F7632"/>
    <w:rsid w:val="007F7942"/>
    <w:rsid w:val="00800B3B"/>
    <w:rsid w:val="0080146A"/>
    <w:rsid w:val="00801B46"/>
    <w:rsid w:val="008023FA"/>
    <w:rsid w:val="00802A3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863"/>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E3C"/>
    <w:rsid w:val="00836F19"/>
    <w:rsid w:val="008371D7"/>
    <w:rsid w:val="0083755B"/>
    <w:rsid w:val="00837DC8"/>
    <w:rsid w:val="00840E1E"/>
    <w:rsid w:val="0084197B"/>
    <w:rsid w:val="00842D37"/>
    <w:rsid w:val="00842D85"/>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26B"/>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027"/>
    <w:rsid w:val="008878C6"/>
    <w:rsid w:val="0089141F"/>
    <w:rsid w:val="00894977"/>
    <w:rsid w:val="00894AD9"/>
    <w:rsid w:val="008952F8"/>
    <w:rsid w:val="00895843"/>
    <w:rsid w:val="00895B41"/>
    <w:rsid w:val="008963A3"/>
    <w:rsid w:val="00896741"/>
    <w:rsid w:val="008968C4"/>
    <w:rsid w:val="008968ED"/>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5008"/>
    <w:rsid w:val="008B5D55"/>
    <w:rsid w:val="008B5F4D"/>
    <w:rsid w:val="008B7281"/>
    <w:rsid w:val="008B7B8C"/>
    <w:rsid w:val="008C0446"/>
    <w:rsid w:val="008C0BA7"/>
    <w:rsid w:val="008C13F6"/>
    <w:rsid w:val="008C2092"/>
    <w:rsid w:val="008C237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1B6"/>
    <w:rsid w:val="008D7790"/>
    <w:rsid w:val="008E10CA"/>
    <w:rsid w:val="008E165C"/>
    <w:rsid w:val="008E36BB"/>
    <w:rsid w:val="008E4488"/>
    <w:rsid w:val="008E4A26"/>
    <w:rsid w:val="008E5096"/>
    <w:rsid w:val="008E5E4B"/>
    <w:rsid w:val="008E6987"/>
    <w:rsid w:val="008F093A"/>
    <w:rsid w:val="008F0F6D"/>
    <w:rsid w:val="008F26D2"/>
    <w:rsid w:val="008F2747"/>
    <w:rsid w:val="008F3BE9"/>
    <w:rsid w:val="008F5845"/>
    <w:rsid w:val="008F696E"/>
    <w:rsid w:val="008F79CF"/>
    <w:rsid w:val="00900621"/>
    <w:rsid w:val="00900CFE"/>
    <w:rsid w:val="009014C1"/>
    <w:rsid w:val="00901A57"/>
    <w:rsid w:val="009023E5"/>
    <w:rsid w:val="00903AB9"/>
    <w:rsid w:val="009059FD"/>
    <w:rsid w:val="00905D0A"/>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5E2C"/>
    <w:rsid w:val="00927A2F"/>
    <w:rsid w:val="00931459"/>
    <w:rsid w:val="009318A2"/>
    <w:rsid w:val="009326BA"/>
    <w:rsid w:val="00933D18"/>
    <w:rsid w:val="00933D1B"/>
    <w:rsid w:val="009378B8"/>
    <w:rsid w:val="00941C09"/>
    <w:rsid w:val="009424A5"/>
    <w:rsid w:val="00943230"/>
    <w:rsid w:val="009450F4"/>
    <w:rsid w:val="00945288"/>
    <w:rsid w:val="00945896"/>
    <w:rsid w:val="00950680"/>
    <w:rsid w:val="00950B58"/>
    <w:rsid w:val="00950D6C"/>
    <w:rsid w:val="00950F81"/>
    <w:rsid w:val="009520B1"/>
    <w:rsid w:val="009528FF"/>
    <w:rsid w:val="00953B18"/>
    <w:rsid w:val="00955EF4"/>
    <w:rsid w:val="00957686"/>
    <w:rsid w:val="00957F9E"/>
    <w:rsid w:val="0096011C"/>
    <w:rsid w:val="00960328"/>
    <w:rsid w:val="009607EA"/>
    <w:rsid w:val="0096168D"/>
    <w:rsid w:val="009616B5"/>
    <w:rsid w:val="00962D57"/>
    <w:rsid w:val="00963EB3"/>
    <w:rsid w:val="009670A1"/>
    <w:rsid w:val="00967D8A"/>
    <w:rsid w:val="009714CD"/>
    <w:rsid w:val="0097206B"/>
    <w:rsid w:val="009726DE"/>
    <w:rsid w:val="00972A8D"/>
    <w:rsid w:val="00973573"/>
    <w:rsid w:val="009738D3"/>
    <w:rsid w:val="00973C5A"/>
    <w:rsid w:val="00973EAE"/>
    <w:rsid w:val="0097479C"/>
    <w:rsid w:val="0097740A"/>
    <w:rsid w:val="00977AEE"/>
    <w:rsid w:val="00980B04"/>
    <w:rsid w:val="0098136E"/>
    <w:rsid w:val="0098272B"/>
    <w:rsid w:val="00983A32"/>
    <w:rsid w:val="00983C0F"/>
    <w:rsid w:val="00983D48"/>
    <w:rsid w:val="00984EA4"/>
    <w:rsid w:val="00985192"/>
    <w:rsid w:val="00986004"/>
    <w:rsid w:val="00990526"/>
    <w:rsid w:val="00990647"/>
    <w:rsid w:val="00990842"/>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330"/>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D70A4"/>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1E4"/>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5E3"/>
    <w:rsid w:val="00A526AC"/>
    <w:rsid w:val="00A53100"/>
    <w:rsid w:val="00A531EE"/>
    <w:rsid w:val="00A5341B"/>
    <w:rsid w:val="00A536A0"/>
    <w:rsid w:val="00A5643D"/>
    <w:rsid w:val="00A57071"/>
    <w:rsid w:val="00A579AB"/>
    <w:rsid w:val="00A57F42"/>
    <w:rsid w:val="00A60990"/>
    <w:rsid w:val="00A60C4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4D00"/>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698D"/>
    <w:rsid w:val="00A97616"/>
    <w:rsid w:val="00AA04FE"/>
    <w:rsid w:val="00AA2525"/>
    <w:rsid w:val="00AA30BF"/>
    <w:rsid w:val="00AA338E"/>
    <w:rsid w:val="00AA34D2"/>
    <w:rsid w:val="00AA384F"/>
    <w:rsid w:val="00AA4EFB"/>
    <w:rsid w:val="00AA4F96"/>
    <w:rsid w:val="00AA5047"/>
    <w:rsid w:val="00AA5219"/>
    <w:rsid w:val="00AA59DE"/>
    <w:rsid w:val="00AA6CAD"/>
    <w:rsid w:val="00AA7083"/>
    <w:rsid w:val="00AA7C01"/>
    <w:rsid w:val="00AB0539"/>
    <w:rsid w:val="00AB21A3"/>
    <w:rsid w:val="00AB2687"/>
    <w:rsid w:val="00AB318B"/>
    <w:rsid w:val="00AB35CD"/>
    <w:rsid w:val="00AB48DA"/>
    <w:rsid w:val="00AB4D85"/>
    <w:rsid w:val="00AB6006"/>
    <w:rsid w:val="00AB7F84"/>
    <w:rsid w:val="00AC02D2"/>
    <w:rsid w:val="00AC05F8"/>
    <w:rsid w:val="00AC0CD9"/>
    <w:rsid w:val="00AC1735"/>
    <w:rsid w:val="00AC1C37"/>
    <w:rsid w:val="00AC1F61"/>
    <w:rsid w:val="00AC1FD0"/>
    <w:rsid w:val="00AC241A"/>
    <w:rsid w:val="00AC3176"/>
    <w:rsid w:val="00AC334B"/>
    <w:rsid w:val="00AC3906"/>
    <w:rsid w:val="00AC39D2"/>
    <w:rsid w:val="00AC3C3A"/>
    <w:rsid w:val="00AC40C6"/>
    <w:rsid w:val="00AC5505"/>
    <w:rsid w:val="00AC5900"/>
    <w:rsid w:val="00AC60CD"/>
    <w:rsid w:val="00AC6751"/>
    <w:rsid w:val="00AC7C0E"/>
    <w:rsid w:val="00AD0358"/>
    <w:rsid w:val="00AD11DF"/>
    <w:rsid w:val="00AD1C38"/>
    <w:rsid w:val="00AD1D8D"/>
    <w:rsid w:val="00AD2183"/>
    <w:rsid w:val="00AD221A"/>
    <w:rsid w:val="00AD246E"/>
    <w:rsid w:val="00AD3702"/>
    <w:rsid w:val="00AD5347"/>
    <w:rsid w:val="00AD54F3"/>
    <w:rsid w:val="00AD5719"/>
    <w:rsid w:val="00AD5CCF"/>
    <w:rsid w:val="00AE11E4"/>
    <w:rsid w:val="00AE2462"/>
    <w:rsid w:val="00AE2744"/>
    <w:rsid w:val="00AE2C7B"/>
    <w:rsid w:val="00AE2CF9"/>
    <w:rsid w:val="00AE3CF9"/>
    <w:rsid w:val="00AE459D"/>
    <w:rsid w:val="00AE4998"/>
    <w:rsid w:val="00AE54D9"/>
    <w:rsid w:val="00AE5973"/>
    <w:rsid w:val="00AF0541"/>
    <w:rsid w:val="00AF0788"/>
    <w:rsid w:val="00AF0E60"/>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C84"/>
    <w:rsid w:val="00B20F12"/>
    <w:rsid w:val="00B2389D"/>
    <w:rsid w:val="00B23C06"/>
    <w:rsid w:val="00B23F5D"/>
    <w:rsid w:val="00B2433D"/>
    <w:rsid w:val="00B246DB"/>
    <w:rsid w:val="00B251DB"/>
    <w:rsid w:val="00B25E57"/>
    <w:rsid w:val="00B26378"/>
    <w:rsid w:val="00B266FC"/>
    <w:rsid w:val="00B26DDD"/>
    <w:rsid w:val="00B27337"/>
    <w:rsid w:val="00B27956"/>
    <w:rsid w:val="00B304D2"/>
    <w:rsid w:val="00B316D5"/>
    <w:rsid w:val="00B327F7"/>
    <w:rsid w:val="00B328E7"/>
    <w:rsid w:val="00B32FB6"/>
    <w:rsid w:val="00B33075"/>
    <w:rsid w:val="00B33786"/>
    <w:rsid w:val="00B33C23"/>
    <w:rsid w:val="00B33D15"/>
    <w:rsid w:val="00B33DF8"/>
    <w:rsid w:val="00B33E5D"/>
    <w:rsid w:val="00B34B5F"/>
    <w:rsid w:val="00B364DC"/>
    <w:rsid w:val="00B36562"/>
    <w:rsid w:val="00B37D2D"/>
    <w:rsid w:val="00B40168"/>
    <w:rsid w:val="00B40243"/>
    <w:rsid w:val="00B40352"/>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166"/>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0B"/>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2AF7"/>
    <w:rsid w:val="00BC5359"/>
    <w:rsid w:val="00BC5812"/>
    <w:rsid w:val="00BC5EFE"/>
    <w:rsid w:val="00BC5F45"/>
    <w:rsid w:val="00BC709F"/>
    <w:rsid w:val="00BC7E5C"/>
    <w:rsid w:val="00BD020E"/>
    <w:rsid w:val="00BD141F"/>
    <w:rsid w:val="00BD1DD2"/>
    <w:rsid w:val="00BD2B8B"/>
    <w:rsid w:val="00BD2F76"/>
    <w:rsid w:val="00BD38B1"/>
    <w:rsid w:val="00BD3A8B"/>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C00"/>
    <w:rsid w:val="00BF00EE"/>
    <w:rsid w:val="00BF0BE8"/>
    <w:rsid w:val="00BF11EB"/>
    <w:rsid w:val="00BF2040"/>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9FA"/>
    <w:rsid w:val="00C04FF3"/>
    <w:rsid w:val="00C051A2"/>
    <w:rsid w:val="00C05274"/>
    <w:rsid w:val="00C052D7"/>
    <w:rsid w:val="00C064DB"/>
    <w:rsid w:val="00C064DF"/>
    <w:rsid w:val="00C06668"/>
    <w:rsid w:val="00C06D4A"/>
    <w:rsid w:val="00C07058"/>
    <w:rsid w:val="00C07682"/>
    <w:rsid w:val="00C07706"/>
    <w:rsid w:val="00C11819"/>
    <w:rsid w:val="00C12ACD"/>
    <w:rsid w:val="00C1365B"/>
    <w:rsid w:val="00C14808"/>
    <w:rsid w:val="00C15B58"/>
    <w:rsid w:val="00C15EE2"/>
    <w:rsid w:val="00C167B0"/>
    <w:rsid w:val="00C16835"/>
    <w:rsid w:val="00C1737C"/>
    <w:rsid w:val="00C20458"/>
    <w:rsid w:val="00C219C8"/>
    <w:rsid w:val="00C21A98"/>
    <w:rsid w:val="00C254B5"/>
    <w:rsid w:val="00C26005"/>
    <w:rsid w:val="00C26B3C"/>
    <w:rsid w:val="00C273BB"/>
    <w:rsid w:val="00C27996"/>
    <w:rsid w:val="00C279F1"/>
    <w:rsid w:val="00C304E2"/>
    <w:rsid w:val="00C31C6A"/>
    <w:rsid w:val="00C321A3"/>
    <w:rsid w:val="00C32250"/>
    <w:rsid w:val="00C331A3"/>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1C0"/>
    <w:rsid w:val="00C42647"/>
    <w:rsid w:val="00C43260"/>
    <w:rsid w:val="00C43C32"/>
    <w:rsid w:val="00C44033"/>
    <w:rsid w:val="00C45257"/>
    <w:rsid w:val="00C46AFB"/>
    <w:rsid w:val="00C505FA"/>
    <w:rsid w:val="00C5158E"/>
    <w:rsid w:val="00C51F56"/>
    <w:rsid w:val="00C53293"/>
    <w:rsid w:val="00C5332E"/>
    <w:rsid w:val="00C53764"/>
    <w:rsid w:val="00C5394C"/>
    <w:rsid w:val="00C540EE"/>
    <w:rsid w:val="00C5481A"/>
    <w:rsid w:val="00C57715"/>
    <w:rsid w:val="00C5774D"/>
    <w:rsid w:val="00C61128"/>
    <w:rsid w:val="00C61DF1"/>
    <w:rsid w:val="00C61E55"/>
    <w:rsid w:val="00C620C1"/>
    <w:rsid w:val="00C62B92"/>
    <w:rsid w:val="00C62CFF"/>
    <w:rsid w:val="00C63D24"/>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254"/>
    <w:rsid w:val="00C86D3C"/>
    <w:rsid w:val="00C872FE"/>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4BFF"/>
    <w:rsid w:val="00CA6024"/>
    <w:rsid w:val="00CA6660"/>
    <w:rsid w:val="00CB0CE8"/>
    <w:rsid w:val="00CB0F30"/>
    <w:rsid w:val="00CB0F87"/>
    <w:rsid w:val="00CB1120"/>
    <w:rsid w:val="00CB11D4"/>
    <w:rsid w:val="00CB2800"/>
    <w:rsid w:val="00CB4503"/>
    <w:rsid w:val="00CB564A"/>
    <w:rsid w:val="00CB5BA2"/>
    <w:rsid w:val="00CB622F"/>
    <w:rsid w:val="00CB6900"/>
    <w:rsid w:val="00CC1E3B"/>
    <w:rsid w:val="00CC1EE9"/>
    <w:rsid w:val="00CC31A4"/>
    <w:rsid w:val="00CC3746"/>
    <w:rsid w:val="00CC6BA6"/>
    <w:rsid w:val="00CD0831"/>
    <w:rsid w:val="00CD1E90"/>
    <w:rsid w:val="00CD2B1D"/>
    <w:rsid w:val="00CD324E"/>
    <w:rsid w:val="00CD3597"/>
    <w:rsid w:val="00CD36F0"/>
    <w:rsid w:val="00CD3DBD"/>
    <w:rsid w:val="00CD4472"/>
    <w:rsid w:val="00CD46AB"/>
    <w:rsid w:val="00CD4D67"/>
    <w:rsid w:val="00CD588C"/>
    <w:rsid w:val="00CD62DC"/>
    <w:rsid w:val="00CD6C58"/>
    <w:rsid w:val="00CD70E1"/>
    <w:rsid w:val="00CD70E8"/>
    <w:rsid w:val="00CD729C"/>
    <w:rsid w:val="00CE0461"/>
    <w:rsid w:val="00CE0CE1"/>
    <w:rsid w:val="00CE0D16"/>
    <w:rsid w:val="00CE19C1"/>
    <w:rsid w:val="00CE211B"/>
    <w:rsid w:val="00CE276C"/>
    <w:rsid w:val="00CE2B92"/>
    <w:rsid w:val="00CE4B6E"/>
    <w:rsid w:val="00CE5B2E"/>
    <w:rsid w:val="00CE5B45"/>
    <w:rsid w:val="00CE6965"/>
    <w:rsid w:val="00CF0A51"/>
    <w:rsid w:val="00CF12F5"/>
    <w:rsid w:val="00CF310D"/>
    <w:rsid w:val="00CF414E"/>
    <w:rsid w:val="00CF47C9"/>
    <w:rsid w:val="00CF4B1C"/>
    <w:rsid w:val="00CF643F"/>
    <w:rsid w:val="00CF699F"/>
    <w:rsid w:val="00CF6E11"/>
    <w:rsid w:val="00CF6F2E"/>
    <w:rsid w:val="00CF7AE8"/>
    <w:rsid w:val="00CF7E1A"/>
    <w:rsid w:val="00CF7F62"/>
    <w:rsid w:val="00D00D84"/>
    <w:rsid w:val="00D00FD0"/>
    <w:rsid w:val="00D03CD8"/>
    <w:rsid w:val="00D05020"/>
    <w:rsid w:val="00D05A69"/>
    <w:rsid w:val="00D0696C"/>
    <w:rsid w:val="00D06B59"/>
    <w:rsid w:val="00D06EA6"/>
    <w:rsid w:val="00D07F4A"/>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31F"/>
    <w:rsid w:val="00D32703"/>
    <w:rsid w:val="00D33432"/>
    <w:rsid w:val="00D33CE6"/>
    <w:rsid w:val="00D3437D"/>
    <w:rsid w:val="00D3527C"/>
    <w:rsid w:val="00D3645F"/>
    <w:rsid w:val="00D37041"/>
    <w:rsid w:val="00D371FC"/>
    <w:rsid w:val="00D372FC"/>
    <w:rsid w:val="00D378EF"/>
    <w:rsid w:val="00D4043B"/>
    <w:rsid w:val="00D405C2"/>
    <w:rsid w:val="00D40732"/>
    <w:rsid w:val="00D40A55"/>
    <w:rsid w:val="00D41C17"/>
    <w:rsid w:val="00D41E98"/>
    <w:rsid w:val="00D41F5B"/>
    <w:rsid w:val="00D42262"/>
    <w:rsid w:val="00D43127"/>
    <w:rsid w:val="00D4356B"/>
    <w:rsid w:val="00D44874"/>
    <w:rsid w:val="00D44DA6"/>
    <w:rsid w:val="00D454CD"/>
    <w:rsid w:val="00D45CBA"/>
    <w:rsid w:val="00D46ECC"/>
    <w:rsid w:val="00D50BBE"/>
    <w:rsid w:val="00D5113C"/>
    <w:rsid w:val="00D511C8"/>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D58"/>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01AD"/>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0D9"/>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1F6"/>
    <w:rsid w:val="00D9426A"/>
    <w:rsid w:val="00D951AB"/>
    <w:rsid w:val="00D95C0A"/>
    <w:rsid w:val="00D95F1A"/>
    <w:rsid w:val="00D964FC"/>
    <w:rsid w:val="00D96E58"/>
    <w:rsid w:val="00DA0F4C"/>
    <w:rsid w:val="00DA2581"/>
    <w:rsid w:val="00DA3405"/>
    <w:rsid w:val="00DA36A6"/>
    <w:rsid w:val="00DA47E4"/>
    <w:rsid w:val="00DA57C9"/>
    <w:rsid w:val="00DA600C"/>
    <w:rsid w:val="00DA6645"/>
    <w:rsid w:val="00DA6ACF"/>
    <w:rsid w:val="00DB0B4E"/>
    <w:rsid w:val="00DB174C"/>
    <w:rsid w:val="00DB1A20"/>
    <w:rsid w:val="00DB1E5C"/>
    <w:rsid w:val="00DB2599"/>
    <w:rsid w:val="00DB2EC1"/>
    <w:rsid w:val="00DB34F5"/>
    <w:rsid w:val="00DB3905"/>
    <w:rsid w:val="00DB4A39"/>
    <w:rsid w:val="00DB4ACA"/>
    <w:rsid w:val="00DB5BA1"/>
    <w:rsid w:val="00DB5C6B"/>
    <w:rsid w:val="00DB6687"/>
    <w:rsid w:val="00DB6FC2"/>
    <w:rsid w:val="00DB75B9"/>
    <w:rsid w:val="00DB760A"/>
    <w:rsid w:val="00DB76FB"/>
    <w:rsid w:val="00DB7AA8"/>
    <w:rsid w:val="00DB7DBD"/>
    <w:rsid w:val="00DB7ECD"/>
    <w:rsid w:val="00DC040E"/>
    <w:rsid w:val="00DC0770"/>
    <w:rsid w:val="00DC0871"/>
    <w:rsid w:val="00DC0C51"/>
    <w:rsid w:val="00DC108D"/>
    <w:rsid w:val="00DC18A1"/>
    <w:rsid w:val="00DC2F83"/>
    <w:rsid w:val="00DC36FE"/>
    <w:rsid w:val="00DC3AF0"/>
    <w:rsid w:val="00DC3E23"/>
    <w:rsid w:val="00DC63F7"/>
    <w:rsid w:val="00DC6D2A"/>
    <w:rsid w:val="00DC7C59"/>
    <w:rsid w:val="00DC7CA4"/>
    <w:rsid w:val="00DD187B"/>
    <w:rsid w:val="00DD18A2"/>
    <w:rsid w:val="00DD35A9"/>
    <w:rsid w:val="00DD3D30"/>
    <w:rsid w:val="00DD3E51"/>
    <w:rsid w:val="00DD3FB7"/>
    <w:rsid w:val="00DD4DB3"/>
    <w:rsid w:val="00DD4E9A"/>
    <w:rsid w:val="00DD6238"/>
    <w:rsid w:val="00DD66DD"/>
    <w:rsid w:val="00DD69B8"/>
    <w:rsid w:val="00DE0B51"/>
    <w:rsid w:val="00DE12D4"/>
    <w:rsid w:val="00DE1D51"/>
    <w:rsid w:val="00DE1DF4"/>
    <w:rsid w:val="00DE320D"/>
    <w:rsid w:val="00DE52F7"/>
    <w:rsid w:val="00DE5410"/>
    <w:rsid w:val="00DE5ECA"/>
    <w:rsid w:val="00DE6478"/>
    <w:rsid w:val="00DE6C8F"/>
    <w:rsid w:val="00DE7370"/>
    <w:rsid w:val="00DF039B"/>
    <w:rsid w:val="00DF0BB8"/>
    <w:rsid w:val="00DF0D55"/>
    <w:rsid w:val="00DF3AF2"/>
    <w:rsid w:val="00DF4C4C"/>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428"/>
    <w:rsid w:val="00E065F2"/>
    <w:rsid w:val="00E10AA7"/>
    <w:rsid w:val="00E10E33"/>
    <w:rsid w:val="00E11234"/>
    <w:rsid w:val="00E118AF"/>
    <w:rsid w:val="00E11D78"/>
    <w:rsid w:val="00E12890"/>
    <w:rsid w:val="00E13272"/>
    <w:rsid w:val="00E13F4E"/>
    <w:rsid w:val="00E154FE"/>
    <w:rsid w:val="00E15E69"/>
    <w:rsid w:val="00E16DEB"/>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3D2"/>
    <w:rsid w:val="00E66C32"/>
    <w:rsid w:val="00E671EB"/>
    <w:rsid w:val="00E6735B"/>
    <w:rsid w:val="00E67AA0"/>
    <w:rsid w:val="00E67BEB"/>
    <w:rsid w:val="00E704CA"/>
    <w:rsid w:val="00E70A09"/>
    <w:rsid w:val="00E70CA6"/>
    <w:rsid w:val="00E70CA7"/>
    <w:rsid w:val="00E7129A"/>
    <w:rsid w:val="00E71609"/>
    <w:rsid w:val="00E721EF"/>
    <w:rsid w:val="00E72AC2"/>
    <w:rsid w:val="00E72C8F"/>
    <w:rsid w:val="00E73B9E"/>
    <w:rsid w:val="00E74B1E"/>
    <w:rsid w:val="00E74E66"/>
    <w:rsid w:val="00E74FB6"/>
    <w:rsid w:val="00E75803"/>
    <w:rsid w:val="00E7598A"/>
    <w:rsid w:val="00E762D3"/>
    <w:rsid w:val="00E76759"/>
    <w:rsid w:val="00E76B0F"/>
    <w:rsid w:val="00E771B2"/>
    <w:rsid w:val="00E775EA"/>
    <w:rsid w:val="00E77BFC"/>
    <w:rsid w:val="00E801D2"/>
    <w:rsid w:val="00E80DEE"/>
    <w:rsid w:val="00E81741"/>
    <w:rsid w:val="00E8262D"/>
    <w:rsid w:val="00E8288D"/>
    <w:rsid w:val="00E82948"/>
    <w:rsid w:val="00E83035"/>
    <w:rsid w:val="00E846B0"/>
    <w:rsid w:val="00E84D46"/>
    <w:rsid w:val="00E85852"/>
    <w:rsid w:val="00E85B1E"/>
    <w:rsid w:val="00E86985"/>
    <w:rsid w:val="00E86B67"/>
    <w:rsid w:val="00E872C3"/>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1D50"/>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40A5"/>
    <w:rsid w:val="00ED5508"/>
    <w:rsid w:val="00ED5D1B"/>
    <w:rsid w:val="00ED75A4"/>
    <w:rsid w:val="00EE0A30"/>
    <w:rsid w:val="00EE0EE5"/>
    <w:rsid w:val="00EE118E"/>
    <w:rsid w:val="00EE15ED"/>
    <w:rsid w:val="00EE2A56"/>
    <w:rsid w:val="00EE4581"/>
    <w:rsid w:val="00EE5AEF"/>
    <w:rsid w:val="00EF0217"/>
    <w:rsid w:val="00EF098A"/>
    <w:rsid w:val="00EF2414"/>
    <w:rsid w:val="00EF3A30"/>
    <w:rsid w:val="00EF404F"/>
    <w:rsid w:val="00EF48F3"/>
    <w:rsid w:val="00EF4BF8"/>
    <w:rsid w:val="00EF6F63"/>
    <w:rsid w:val="00EF731B"/>
    <w:rsid w:val="00EF7B11"/>
    <w:rsid w:val="00F0075A"/>
    <w:rsid w:val="00F00AA5"/>
    <w:rsid w:val="00F00EB8"/>
    <w:rsid w:val="00F012B2"/>
    <w:rsid w:val="00F015C9"/>
    <w:rsid w:val="00F02B6C"/>
    <w:rsid w:val="00F030FF"/>
    <w:rsid w:val="00F036EE"/>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6D5"/>
    <w:rsid w:val="00F23A55"/>
    <w:rsid w:val="00F23A88"/>
    <w:rsid w:val="00F24738"/>
    <w:rsid w:val="00F24F7A"/>
    <w:rsid w:val="00F25981"/>
    <w:rsid w:val="00F26DB4"/>
    <w:rsid w:val="00F27250"/>
    <w:rsid w:val="00F2779D"/>
    <w:rsid w:val="00F3004D"/>
    <w:rsid w:val="00F30889"/>
    <w:rsid w:val="00F322BD"/>
    <w:rsid w:val="00F3324C"/>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5121"/>
    <w:rsid w:val="00F652CB"/>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927"/>
    <w:rsid w:val="00F76A06"/>
    <w:rsid w:val="00F77DD5"/>
    <w:rsid w:val="00F77F93"/>
    <w:rsid w:val="00F825F4"/>
    <w:rsid w:val="00F83D10"/>
    <w:rsid w:val="00F841B4"/>
    <w:rsid w:val="00F84C98"/>
    <w:rsid w:val="00F84EA0"/>
    <w:rsid w:val="00F86434"/>
    <w:rsid w:val="00F90A9E"/>
    <w:rsid w:val="00F90FBE"/>
    <w:rsid w:val="00F91A64"/>
    <w:rsid w:val="00F92B29"/>
    <w:rsid w:val="00F93609"/>
    <w:rsid w:val="00F94052"/>
    <w:rsid w:val="00F941EB"/>
    <w:rsid w:val="00F947D1"/>
    <w:rsid w:val="00F94A85"/>
    <w:rsid w:val="00F94D93"/>
    <w:rsid w:val="00F9547C"/>
    <w:rsid w:val="00F95A36"/>
    <w:rsid w:val="00F95E62"/>
    <w:rsid w:val="00F9784E"/>
    <w:rsid w:val="00F97F74"/>
    <w:rsid w:val="00FA1041"/>
    <w:rsid w:val="00FA349D"/>
    <w:rsid w:val="00FA43A3"/>
    <w:rsid w:val="00FA451B"/>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51B"/>
    <w:rsid w:val="00FC0BB1"/>
    <w:rsid w:val="00FC1D5C"/>
    <w:rsid w:val="00FC1E54"/>
    <w:rsid w:val="00FC2C47"/>
    <w:rsid w:val="00FC2C59"/>
    <w:rsid w:val="00FC33C5"/>
    <w:rsid w:val="00FC34F8"/>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7F5"/>
    <w:rsid w:val="00FD3805"/>
    <w:rsid w:val="00FD3937"/>
    <w:rsid w:val="00FD39D7"/>
    <w:rsid w:val="00FD403D"/>
    <w:rsid w:val="00FD4396"/>
    <w:rsid w:val="00FD4A4F"/>
    <w:rsid w:val="00FD578E"/>
    <w:rsid w:val="00FD5CA8"/>
    <w:rsid w:val="00FE04CB"/>
    <w:rsid w:val="00FE07EA"/>
    <w:rsid w:val="00FE155D"/>
    <w:rsid w:val="00FE1BF1"/>
    <w:rsid w:val="00FE24AC"/>
    <w:rsid w:val="00FE28DC"/>
    <w:rsid w:val="00FE2F9A"/>
    <w:rsid w:val="00FE324E"/>
    <w:rsid w:val="00FE563F"/>
    <w:rsid w:val="00FE56C3"/>
    <w:rsid w:val="00FE5710"/>
    <w:rsid w:val="00FE5A13"/>
    <w:rsid w:val="00FE66B5"/>
    <w:rsid w:val="00FE67D8"/>
    <w:rsid w:val="00FE6CAD"/>
    <w:rsid w:val="00FE6E4F"/>
    <w:rsid w:val="00FE71C9"/>
    <w:rsid w:val="00FE743E"/>
    <w:rsid w:val="00FF06DF"/>
    <w:rsid w:val="00FF166A"/>
    <w:rsid w:val="00FF180B"/>
    <w:rsid w:val="00FF2593"/>
    <w:rsid w:val="00FF259B"/>
    <w:rsid w:val="00FF34EB"/>
    <w:rsid w:val="00FF396D"/>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9B80B"/>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567D-04D7-479B-BA49-966192D4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15</Pages>
  <Words>7150</Words>
  <Characters>40758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47813</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70</cp:revision>
  <cp:lastPrinted>2023-11-27T06:45:00Z</cp:lastPrinted>
  <dcterms:created xsi:type="dcterms:W3CDTF">2023-11-27T00:40:00Z</dcterms:created>
  <dcterms:modified xsi:type="dcterms:W3CDTF">2023-12-11T00:23:00Z</dcterms:modified>
</cp:coreProperties>
</file>